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5F6A4" w14:textId="77777777" w:rsidR="00842E87" w:rsidRPr="00840976" w:rsidRDefault="00842E87" w:rsidP="00DE6D94">
      <w:r w:rsidRPr="00840976">
        <w:tab/>
      </w:r>
      <w:r w:rsidRPr="00840976">
        <w:tab/>
      </w:r>
      <w:r w:rsidRPr="00840976">
        <w:tab/>
      </w:r>
      <w:r w:rsidRPr="00840976">
        <w:tab/>
      </w:r>
    </w:p>
    <w:p w14:paraId="7783E2CB" w14:textId="77777777" w:rsidR="00842E87" w:rsidRPr="00840976" w:rsidRDefault="00842E87" w:rsidP="009501E8">
      <w:pPr>
        <w:tabs>
          <w:tab w:val="left" w:pos="284"/>
        </w:tabs>
        <w:spacing w:line="360" w:lineRule="auto"/>
        <w:jc w:val="both"/>
        <w:rPr>
          <w:rFonts w:cs="Times New Roman"/>
          <w:szCs w:val="24"/>
        </w:rPr>
      </w:pPr>
    </w:p>
    <w:p w14:paraId="19A07145" w14:textId="77777777" w:rsidR="00842E87" w:rsidRPr="00840976" w:rsidRDefault="00842E87" w:rsidP="009501E8">
      <w:pPr>
        <w:tabs>
          <w:tab w:val="left" w:pos="284"/>
        </w:tabs>
        <w:spacing w:line="360" w:lineRule="auto"/>
        <w:jc w:val="both"/>
        <w:rPr>
          <w:rFonts w:cs="Times New Roman"/>
          <w:szCs w:val="24"/>
        </w:rPr>
      </w:pPr>
    </w:p>
    <w:p w14:paraId="3B2630B8" w14:textId="77777777" w:rsidR="00842E87" w:rsidRPr="00840976" w:rsidRDefault="00842E87" w:rsidP="009501E8">
      <w:pPr>
        <w:tabs>
          <w:tab w:val="left" w:pos="284"/>
        </w:tabs>
        <w:spacing w:line="360" w:lineRule="auto"/>
        <w:jc w:val="both"/>
        <w:rPr>
          <w:rFonts w:cs="Times New Roman"/>
          <w:szCs w:val="24"/>
        </w:rPr>
      </w:pPr>
    </w:p>
    <w:p w14:paraId="4327D5B7" w14:textId="77777777" w:rsidR="00842E87" w:rsidRPr="00840976" w:rsidRDefault="00842E87" w:rsidP="009501E8">
      <w:pPr>
        <w:tabs>
          <w:tab w:val="left" w:pos="284"/>
        </w:tabs>
        <w:spacing w:line="360" w:lineRule="auto"/>
        <w:jc w:val="both"/>
        <w:rPr>
          <w:rFonts w:cs="Times New Roman"/>
          <w:szCs w:val="24"/>
        </w:rPr>
      </w:pPr>
    </w:p>
    <w:p w14:paraId="6A3EA345" w14:textId="77777777" w:rsidR="00842E87" w:rsidRPr="00840976" w:rsidRDefault="00842E87" w:rsidP="009501E8">
      <w:pPr>
        <w:tabs>
          <w:tab w:val="left" w:pos="284"/>
        </w:tabs>
        <w:spacing w:line="360" w:lineRule="auto"/>
        <w:jc w:val="both"/>
        <w:rPr>
          <w:rFonts w:cs="Times New Roman"/>
          <w:szCs w:val="24"/>
        </w:rPr>
      </w:pPr>
    </w:p>
    <w:p w14:paraId="000A8D73" w14:textId="77777777" w:rsidR="00842E87" w:rsidRPr="00840976" w:rsidRDefault="00842E87" w:rsidP="009501E8">
      <w:pPr>
        <w:tabs>
          <w:tab w:val="left" w:pos="284"/>
        </w:tabs>
        <w:spacing w:line="360" w:lineRule="auto"/>
        <w:jc w:val="both"/>
        <w:rPr>
          <w:rFonts w:cs="Times New Roman"/>
          <w:szCs w:val="24"/>
        </w:rPr>
      </w:pPr>
    </w:p>
    <w:p w14:paraId="2FE1202A" w14:textId="77777777" w:rsidR="00842E87" w:rsidRPr="00840976" w:rsidRDefault="00842E87" w:rsidP="009501E8">
      <w:pPr>
        <w:tabs>
          <w:tab w:val="left" w:pos="284"/>
        </w:tabs>
        <w:spacing w:line="360" w:lineRule="auto"/>
        <w:jc w:val="both"/>
        <w:rPr>
          <w:rFonts w:cs="Times New Roman"/>
          <w:b/>
          <w:bCs/>
        </w:rPr>
      </w:pPr>
    </w:p>
    <w:p w14:paraId="6A9BA540" w14:textId="77777777" w:rsidR="00842E87" w:rsidRPr="00840976" w:rsidRDefault="00842E87" w:rsidP="009501E8">
      <w:pPr>
        <w:tabs>
          <w:tab w:val="left" w:pos="284"/>
        </w:tabs>
        <w:spacing w:line="360" w:lineRule="auto"/>
        <w:jc w:val="both"/>
        <w:rPr>
          <w:rFonts w:cs="Times New Roman"/>
          <w:b/>
          <w:bCs/>
          <w:sz w:val="32"/>
          <w:szCs w:val="32"/>
        </w:rPr>
      </w:pPr>
      <w:r w:rsidRPr="00840976">
        <w:rPr>
          <w:rFonts w:cs="Times New Roman"/>
          <w:b/>
          <w:bCs/>
          <w:sz w:val="32"/>
          <w:szCs w:val="32"/>
        </w:rPr>
        <w:t>TKBB</w:t>
      </w:r>
    </w:p>
    <w:p w14:paraId="701F865A" w14:textId="3D8FCBD5" w:rsidR="00D207D5" w:rsidRPr="00840976" w:rsidRDefault="00D85A54" w:rsidP="009501E8">
      <w:pPr>
        <w:tabs>
          <w:tab w:val="left" w:pos="284"/>
        </w:tabs>
        <w:spacing w:line="360" w:lineRule="auto"/>
        <w:jc w:val="both"/>
        <w:rPr>
          <w:rFonts w:cs="Times New Roman"/>
          <w:b/>
          <w:bCs/>
          <w:sz w:val="32"/>
          <w:szCs w:val="32"/>
        </w:rPr>
      </w:pPr>
      <w:r w:rsidRPr="00840976">
        <w:rPr>
          <w:rFonts w:cs="Times New Roman"/>
          <w:b/>
          <w:bCs/>
          <w:sz w:val="32"/>
          <w:szCs w:val="32"/>
        </w:rPr>
        <w:t>Katılım Finansı Standartları</w:t>
      </w:r>
      <w:r w:rsidR="00D207D5" w:rsidRPr="00840976">
        <w:rPr>
          <w:rFonts w:cs="Times New Roman"/>
          <w:b/>
          <w:bCs/>
          <w:sz w:val="32"/>
          <w:szCs w:val="32"/>
        </w:rPr>
        <w:t xml:space="preserve"> No</w:t>
      </w:r>
      <w:r w:rsidR="00C14333" w:rsidRPr="00840976">
        <w:rPr>
          <w:rFonts w:cs="Times New Roman"/>
          <w:b/>
          <w:bCs/>
          <w:sz w:val="32"/>
          <w:szCs w:val="32"/>
        </w:rPr>
        <w:t xml:space="preserve">: </w:t>
      </w:r>
      <w:r w:rsidR="00BD0031" w:rsidRPr="00840976">
        <w:rPr>
          <w:rFonts w:cs="Times New Roman"/>
          <w:b/>
          <w:bCs/>
          <w:sz w:val="32"/>
          <w:szCs w:val="32"/>
        </w:rPr>
        <w:t>7</w:t>
      </w:r>
    </w:p>
    <w:p w14:paraId="04721F70" w14:textId="77777777" w:rsidR="00D207D5" w:rsidRPr="00840976" w:rsidRDefault="00D207D5" w:rsidP="009501E8">
      <w:pPr>
        <w:tabs>
          <w:tab w:val="left" w:pos="284"/>
        </w:tabs>
        <w:spacing w:line="360" w:lineRule="auto"/>
        <w:jc w:val="both"/>
        <w:rPr>
          <w:rFonts w:cs="Times New Roman"/>
          <w:b/>
          <w:bCs/>
          <w:sz w:val="32"/>
          <w:szCs w:val="32"/>
        </w:rPr>
      </w:pPr>
      <w:bookmarkStart w:id="0" w:name="_Hlk6582789"/>
    </w:p>
    <w:p w14:paraId="292CBF2A" w14:textId="76BC9CED" w:rsidR="00842E87" w:rsidRPr="00840976" w:rsidRDefault="00156F57" w:rsidP="009501E8">
      <w:pPr>
        <w:tabs>
          <w:tab w:val="left" w:pos="284"/>
        </w:tabs>
        <w:spacing w:line="360" w:lineRule="auto"/>
        <w:jc w:val="center"/>
        <w:rPr>
          <w:rFonts w:cs="Times New Roman"/>
          <w:b/>
          <w:bCs/>
          <w:sz w:val="40"/>
          <w:szCs w:val="40"/>
        </w:rPr>
      </w:pPr>
      <w:r>
        <w:rPr>
          <w:rFonts w:cs="Times New Roman"/>
          <w:b/>
          <w:bCs/>
          <w:sz w:val="40"/>
          <w:szCs w:val="40"/>
        </w:rPr>
        <w:t>MÜŞÂREKE</w:t>
      </w:r>
      <w:r w:rsidR="00287806" w:rsidRPr="00840976">
        <w:rPr>
          <w:rFonts w:cs="Times New Roman"/>
          <w:b/>
          <w:bCs/>
          <w:sz w:val="40"/>
          <w:szCs w:val="40"/>
        </w:rPr>
        <w:t xml:space="preserve"> STANDARDI</w:t>
      </w:r>
    </w:p>
    <w:bookmarkEnd w:id="0"/>
    <w:p w14:paraId="34AE7FEE" w14:textId="77777777" w:rsidR="00842E87" w:rsidRPr="00840976" w:rsidRDefault="00842E87" w:rsidP="009501E8">
      <w:pPr>
        <w:pStyle w:val="stBilgi"/>
        <w:tabs>
          <w:tab w:val="left" w:pos="284"/>
        </w:tabs>
        <w:spacing w:after="160" w:line="360" w:lineRule="auto"/>
        <w:jc w:val="both"/>
        <w:rPr>
          <w:rFonts w:cs="Times New Roman"/>
          <w:szCs w:val="24"/>
        </w:rPr>
      </w:pPr>
    </w:p>
    <w:p w14:paraId="256EA6DA" w14:textId="77777777" w:rsidR="00842E87" w:rsidRPr="00840976" w:rsidRDefault="00842E87" w:rsidP="009501E8">
      <w:pPr>
        <w:tabs>
          <w:tab w:val="left" w:pos="284"/>
        </w:tabs>
        <w:spacing w:line="360" w:lineRule="auto"/>
        <w:jc w:val="both"/>
        <w:rPr>
          <w:rFonts w:cs="Times New Roman"/>
          <w:szCs w:val="24"/>
        </w:rPr>
      </w:pPr>
    </w:p>
    <w:p w14:paraId="2103C76C" w14:textId="77777777" w:rsidR="00842E87" w:rsidRPr="00840976" w:rsidRDefault="00842E87" w:rsidP="009501E8">
      <w:pPr>
        <w:tabs>
          <w:tab w:val="left" w:pos="284"/>
        </w:tabs>
        <w:spacing w:line="360" w:lineRule="auto"/>
        <w:jc w:val="both"/>
        <w:rPr>
          <w:rFonts w:cs="Times New Roman"/>
          <w:szCs w:val="24"/>
        </w:rPr>
      </w:pPr>
    </w:p>
    <w:p w14:paraId="290645FD" w14:textId="77777777" w:rsidR="00842E87" w:rsidRPr="00840976" w:rsidRDefault="00842E87" w:rsidP="009501E8">
      <w:pPr>
        <w:tabs>
          <w:tab w:val="left" w:pos="284"/>
        </w:tabs>
        <w:spacing w:line="360" w:lineRule="auto"/>
        <w:jc w:val="both"/>
        <w:rPr>
          <w:rFonts w:cs="Times New Roman"/>
          <w:szCs w:val="24"/>
        </w:rPr>
      </w:pPr>
    </w:p>
    <w:p w14:paraId="70B7C6E3" w14:textId="77777777" w:rsidR="00842E87" w:rsidRPr="00840976" w:rsidRDefault="00842E87" w:rsidP="009501E8">
      <w:pPr>
        <w:tabs>
          <w:tab w:val="left" w:pos="284"/>
        </w:tabs>
        <w:spacing w:line="360" w:lineRule="auto"/>
        <w:jc w:val="both"/>
        <w:rPr>
          <w:rFonts w:cs="Times New Roman"/>
          <w:szCs w:val="24"/>
        </w:rPr>
      </w:pPr>
    </w:p>
    <w:p w14:paraId="5555D359" w14:textId="77777777" w:rsidR="00842E87" w:rsidRPr="00840976" w:rsidRDefault="00842E87" w:rsidP="009501E8">
      <w:pPr>
        <w:tabs>
          <w:tab w:val="left" w:pos="284"/>
        </w:tabs>
        <w:spacing w:line="360" w:lineRule="auto"/>
        <w:jc w:val="both"/>
        <w:rPr>
          <w:rFonts w:cs="Times New Roman"/>
          <w:szCs w:val="24"/>
        </w:rPr>
      </w:pPr>
    </w:p>
    <w:p w14:paraId="5899D1ED" w14:textId="77777777" w:rsidR="00842E87" w:rsidRPr="00840976" w:rsidRDefault="00842E87" w:rsidP="009501E8">
      <w:pPr>
        <w:tabs>
          <w:tab w:val="left" w:pos="284"/>
        </w:tabs>
        <w:spacing w:line="360" w:lineRule="auto"/>
        <w:jc w:val="both"/>
        <w:rPr>
          <w:rFonts w:cs="Times New Roman"/>
          <w:szCs w:val="24"/>
        </w:rPr>
      </w:pPr>
    </w:p>
    <w:p w14:paraId="20174DB6" w14:textId="77777777" w:rsidR="00842E87" w:rsidRPr="00840976" w:rsidRDefault="00842E87" w:rsidP="009501E8">
      <w:pPr>
        <w:tabs>
          <w:tab w:val="left" w:pos="284"/>
        </w:tabs>
        <w:spacing w:line="360" w:lineRule="auto"/>
        <w:jc w:val="both"/>
        <w:rPr>
          <w:rFonts w:cs="Times New Roman"/>
          <w:szCs w:val="24"/>
        </w:rPr>
      </w:pPr>
    </w:p>
    <w:p w14:paraId="390D0613" w14:textId="77777777" w:rsidR="00842E87" w:rsidRPr="00840976" w:rsidRDefault="00842E87" w:rsidP="009501E8">
      <w:pPr>
        <w:tabs>
          <w:tab w:val="left" w:pos="284"/>
        </w:tabs>
        <w:spacing w:line="360" w:lineRule="auto"/>
        <w:jc w:val="both"/>
        <w:rPr>
          <w:rFonts w:cs="Times New Roman"/>
          <w:i/>
          <w:iCs/>
          <w:szCs w:val="24"/>
        </w:rPr>
      </w:pPr>
    </w:p>
    <w:p w14:paraId="43AEE144" w14:textId="77777777" w:rsidR="00842E87" w:rsidRPr="00840976" w:rsidRDefault="00842E87" w:rsidP="009501E8">
      <w:pPr>
        <w:tabs>
          <w:tab w:val="left" w:pos="284"/>
        </w:tabs>
        <w:spacing w:line="360" w:lineRule="auto"/>
        <w:jc w:val="both"/>
        <w:rPr>
          <w:rFonts w:cs="Times New Roman"/>
          <w:i/>
          <w:iCs/>
          <w:szCs w:val="24"/>
        </w:rPr>
      </w:pPr>
    </w:p>
    <w:p w14:paraId="2704C9CB" w14:textId="77777777" w:rsidR="00842E87" w:rsidRPr="00840976" w:rsidRDefault="00842E87" w:rsidP="009501E8">
      <w:pPr>
        <w:tabs>
          <w:tab w:val="left" w:pos="284"/>
        </w:tabs>
        <w:spacing w:line="360" w:lineRule="auto"/>
        <w:jc w:val="both"/>
        <w:rPr>
          <w:rFonts w:cs="Times New Roman"/>
          <w:i/>
          <w:iCs/>
          <w:szCs w:val="24"/>
        </w:rPr>
      </w:pPr>
    </w:p>
    <w:p w14:paraId="7DBE2D49" w14:textId="77777777" w:rsidR="00842E87" w:rsidRPr="00840976" w:rsidRDefault="00842E87" w:rsidP="009501E8">
      <w:pPr>
        <w:tabs>
          <w:tab w:val="left" w:pos="284"/>
        </w:tabs>
        <w:spacing w:line="360" w:lineRule="auto"/>
        <w:jc w:val="both"/>
        <w:rPr>
          <w:rFonts w:cs="Times New Roman"/>
          <w:i/>
          <w:iCs/>
          <w:szCs w:val="24"/>
        </w:rPr>
      </w:pPr>
    </w:p>
    <w:p w14:paraId="03DC40BC" w14:textId="77777777" w:rsidR="00842E87" w:rsidRPr="00840976" w:rsidRDefault="00842E87" w:rsidP="009501E8">
      <w:pPr>
        <w:tabs>
          <w:tab w:val="left" w:pos="284"/>
        </w:tabs>
        <w:spacing w:line="360" w:lineRule="auto"/>
        <w:jc w:val="both"/>
        <w:rPr>
          <w:rFonts w:cs="Times New Roman"/>
          <w:i/>
          <w:iCs/>
          <w:szCs w:val="24"/>
        </w:rPr>
      </w:pPr>
    </w:p>
    <w:p w14:paraId="33AC1F79" w14:textId="77777777" w:rsidR="00842E87" w:rsidRPr="00840976" w:rsidRDefault="00842E87" w:rsidP="009501E8">
      <w:pPr>
        <w:tabs>
          <w:tab w:val="left" w:pos="284"/>
        </w:tabs>
        <w:spacing w:line="360" w:lineRule="auto"/>
        <w:jc w:val="both"/>
        <w:rPr>
          <w:rFonts w:cs="Times New Roman"/>
          <w:i/>
          <w:iCs/>
          <w:szCs w:val="24"/>
        </w:rPr>
      </w:pPr>
    </w:p>
    <w:p w14:paraId="6D40411E" w14:textId="77777777" w:rsidR="00842E87" w:rsidRPr="00840976" w:rsidRDefault="00842E87" w:rsidP="009501E8">
      <w:pPr>
        <w:tabs>
          <w:tab w:val="left" w:pos="284"/>
        </w:tabs>
        <w:spacing w:line="360" w:lineRule="auto"/>
        <w:jc w:val="both"/>
        <w:rPr>
          <w:rFonts w:cs="Times New Roman"/>
          <w:b/>
          <w:bCs/>
          <w:i/>
          <w:iCs/>
          <w:szCs w:val="24"/>
        </w:rPr>
      </w:pPr>
    </w:p>
    <w:p w14:paraId="550F05C5" w14:textId="77777777" w:rsidR="00842E87" w:rsidRPr="00840976" w:rsidRDefault="00842E87" w:rsidP="009501E8">
      <w:pPr>
        <w:tabs>
          <w:tab w:val="left" w:pos="284"/>
        </w:tabs>
        <w:spacing w:line="360" w:lineRule="auto"/>
        <w:jc w:val="both"/>
        <w:rPr>
          <w:rFonts w:cs="Times New Roman"/>
          <w:b/>
          <w:bCs/>
          <w:i/>
          <w:iCs/>
          <w:szCs w:val="24"/>
        </w:rPr>
      </w:pPr>
    </w:p>
    <w:p w14:paraId="3C5D49BB" w14:textId="77777777" w:rsidR="00842E87" w:rsidRPr="00840976" w:rsidRDefault="00842E87" w:rsidP="009501E8">
      <w:pPr>
        <w:tabs>
          <w:tab w:val="left" w:pos="284"/>
        </w:tabs>
        <w:spacing w:line="360" w:lineRule="auto"/>
        <w:jc w:val="both"/>
        <w:rPr>
          <w:rFonts w:cs="Times New Roman"/>
          <w:b/>
          <w:bCs/>
          <w:i/>
          <w:iCs/>
          <w:szCs w:val="24"/>
        </w:rPr>
      </w:pPr>
    </w:p>
    <w:p w14:paraId="61E26BBD" w14:textId="77777777" w:rsidR="00842E87" w:rsidRPr="00840976" w:rsidRDefault="00842E87" w:rsidP="009501E8">
      <w:pPr>
        <w:tabs>
          <w:tab w:val="left" w:pos="284"/>
        </w:tabs>
        <w:spacing w:line="360" w:lineRule="auto"/>
        <w:jc w:val="both"/>
        <w:rPr>
          <w:rFonts w:cs="Times New Roman"/>
          <w:b/>
          <w:bCs/>
          <w:i/>
          <w:iCs/>
          <w:szCs w:val="24"/>
        </w:rPr>
      </w:pPr>
    </w:p>
    <w:sdt>
      <w:sdtPr>
        <w:rPr>
          <w:rFonts w:eastAsiaTheme="minorHAnsi" w:cstheme="minorBidi"/>
          <w:b w:val="0"/>
          <w:szCs w:val="22"/>
          <w:lang w:eastAsia="en-US"/>
        </w:rPr>
        <w:id w:val="800187064"/>
        <w:docPartObj>
          <w:docPartGallery w:val="Table of Contents"/>
          <w:docPartUnique/>
        </w:docPartObj>
      </w:sdtPr>
      <w:sdtEndPr>
        <w:rPr>
          <w:bCs/>
        </w:rPr>
      </w:sdtEndPr>
      <w:sdtContent>
        <w:p w14:paraId="4364592E" w14:textId="7B84A8F3" w:rsidR="00CA634F" w:rsidRDefault="00CA634F" w:rsidP="00CA634F">
          <w:pPr>
            <w:pStyle w:val="TBal"/>
          </w:pPr>
          <w:r>
            <w:t>İÇİNDEKİLER</w:t>
          </w:r>
        </w:p>
        <w:p w14:paraId="5AF3DCAC" w14:textId="77777777" w:rsidR="00CA634F" w:rsidRPr="00CA634F" w:rsidRDefault="00CA634F" w:rsidP="00CA634F">
          <w:pPr>
            <w:rPr>
              <w:lang w:eastAsia="tr-TR"/>
            </w:rPr>
          </w:pPr>
        </w:p>
        <w:p w14:paraId="11BC78E9" w14:textId="17EF5117" w:rsidR="00CA634F" w:rsidRPr="00840976" w:rsidRDefault="00CA634F" w:rsidP="00CA634F">
          <w:pPr>
            <w:pStyle w:val="T1"/>
            <w:rPr>
              <w:rFonts w:asciiTheme="minorHAnsi" w:eastAsiaTheme="minorEastAsia" w:hAnsiTheme="minorHAnsi"/>
              <w:kern w:val="2"/>
              <w:szCs w:val="24"/>
              <w:lang w:eastAsia="tr-TR"/>
              <w14:ligatures w14:val="standardContextual"/>
            </w:rPr>
          </w:pPr>
          <w:hyperlink w:anchor="_Toc170257372" w:history="1">
            <w:r w:rsidRPr="00CA634F">
              <w:rPr>
                <w:rStyle w:val="Kpr"/>
                <w:rFonts w:eastAsia="Times New Roman" w:cs="Times New Roman"/>
                <w:b/>
                <w:color w:val="auto"/>
                <w:u w:val="none"/>
              </w:rPr>
              <w:t>HÜKÜMLER</w:t>
            </w:r>
            <w:r w:rsidRPr="00840976">
              <w:rPr>
                <w:webHidden/>
              </w:rPr>
              <w:tab/>
            </w:r>
            <w:r>
              <w:rPr>
                <w:webHidden/>
              </w:rPr>
              <w:t>5</w:t>
            </w:r>
          </w:hyperlink>
        </w:p>
        <w:p w14:paraId="5C0B2370" w14:textId="12B9A3CB" w:rsidR="00AB2823" w:rsidRPr="00D949C0" w:rsidRDefault="008310C9" w:rsidP="00661B22">
          <w:pPr>
            <w:pStyle w:val="T1"/>
            <w:rPr>
              <w:rFonts w:asciiTheme="minorHAnsi" w:eastAsiaTheme="minorEastAsia" w:hAnsiTheme="minorHAnsi"/>
              <w:kern w:val="2"/>
              <w:szCs w:val="24"/>
              <w:lang w:eastAsia="tr-TR"/>
              <w14:ligatures w14:val="standardContextual"/>
            </w:rPr>
          </w:pPr>
          <w:r w:rsidRPr="00840976">
            <w:fldChar w:fldCharType="begin"/>
          </w:r>
          <w:r w:rsidRPr="00840976">
            <w:instrText xml:space="preserve"> TOC \o "1-3" \h \z \u </w:instrText>
          </w:r>
          <w:r w:rsidRPr="00840976">
            <w:fldChar w:fldCharType="separate"/>
          </w:r>
          <w:hyperlink w:anchor="_Toc170257338" w:history="1">
            <w:r w:rsidR="00DF3397">
              <w:rPr>
                <w:rStyle w:val="Kpr"/>
                <w:b/>
                <w:bCs/>
                <w:color w:val="auto"/>
              </w:rPr>
              <w:t>I</w:t>
            </w:r>
            <w:r w:rsidR="00AB2823" w:rsidRPr="00D949C0">
              <w:rPr>
                <w:rStyle w:val="Kpr"/>
                <w:b/>
                <w:bCs/>
                <w:color w:val="auto"/>
              </w:rPr>
              <w:t>.</w:t>
            </w:r>
            <w:r w:rsidR="00AB2823" w:rsidRPr="00D949C0">
              <w:rPr>
                <w:rFonts w:asciiTheme="minorHAnsi" w:eastAsiaTheme="minorEastAsia" w:hAnsiTheme="minorHAnsi"/>
                <w:kern w:val="2"/>
                <w:szCs w:val="24"/>
                <w:lang w:eastAsia="tr-TR"/>
                <w14:ligatures w14:val="standardContextual"/>
              </w:rPr>
              <w:tab/>
            </w:r>
            <w:r w:rsidR="00156F57">
              <w:rPr>
                <w:rStyle w:val="Kpr"/>
                <w:b/>
                <w:bCs/>
                <w:color w:val="auto"/>
              </w:rPr>
              <w:t>Müşâreke</w:t>
            </w:r>
            <w:r w:rsidR="00AB2823" w:rsidRPr="00D949C0">
              <w:rPr>
                <w:rStyle w:val="Kpr"/>
                <w:b/>
                <w:bCs/>
                <w:color w:val="auto"/>
              </w:rPr>
              <w:t xml:space="preserve"> Sözleşmesi</w:t>
            </w:r>
            <w:r w:rsidR="00AB2823" w:rsidRPr="00D949C0">
              <w:rPr>
                <w:webHidden/>
              </w:rPr>
              <w:tab/>
            </w:r>
            <w:r w:rsidR="00AB2823" w:rsidRPr="00D949C0">
              <w:rPr>
                <w:webHidden/>
              </w:rPr>
              <w:fldChar w:fldCharType="begin"/>
            </w:r>
            <w:r w:rsidR="00AB2823" w:rsidRPr="00D949C0">
              <w:rPr>
                <w:webHidden/>
              </w:rPr>
              <w:instrText xml:space="preserve"> PAGEREF _Toc170257338 \h </w:instrText>
            </w:r>
            <w:r w:rsidR="00AB2823" w:rsidRPr="00D949C0">
              <w:rPr>
                <w:webHidden/>
              </w:rPr>
            </w:r>
            <w:r w:rsidR="00AB2823" w:rsidRPr="00D949C0">
              <w:rPr>
                <w:webHidden/>
              </w:rPr>
              <w:fldChar w:fldCharType="separate"/>
            </w:r>
            <w:r w:rsidR="006B7E04">
              <w:rPr>
                <w:webHidden/>
              </w:rPr>
              <w:t>5</w:t>
            </w:r>
            <w:r w:rsidR="00AB2823" w:rsidRPr="00D949C0">
              <w:rPr>
                <w:webHidden/>
              </w:rPr>
              <w:fldChar w:fldCharType="end"/>
            </w:r>
          </w:hyperlink>
        </w:p>
        <w:p w14:paraId="559190C6" w14:textId="62A7DFE5" w:rsidR="00AB2823" w:rsidRPr="00661B22" w:rsidRDefault="00DF3397" w:rsidP="00661B22">
          <w:pPr>
            <w:pStyle w:val="T1"/>
            <w:rPr>
              <w:rFonts w:asciiTheme="minorHAnsi" w:eastAsiaTheme="minorEastAsia" w:hAnsiTheme="minorHAnsi"/>
              <w:kern w:val="2"/>
              <w:szCs w:val="24"/>
              <w:lang w:eastAsia="tr-TR"/>
              <w14:ligatures w14:val="standardContextual"/>
            </w:rPr>
          </w:pPr>
          <w:hyperlink w:anchor="_Toc170257340" w:history="1">
            <w:r>
              <w:rPr>
                <w:rStyle w:val="Kpr"/>
                <w:b/>
                <w:bCs/>
                <w:color w:val="auto"/>
              </w:rPr>
              <w:t>II</w:t>
            </w:r>
            <w:r w:rsidR="00AB2823" w:rsidRPr="00D949C0">
              <w:rPr>
                <w:rStyle w:val="Kpr"/>
                <w:b/>
                <w:bCs/>
                <w:color w:val="auto"/>
              </w:rPr>
              <w:t>.</w:t>
            </w:r>
            <w:r w:rsidR="00AB2823" w:rsidRPr="00D949C0">
              <w:rPr>
                <w:rFonts w:asciiTheme="minorHAnsi" w:eastAsiaTheme="minorEastAsia" w:hAnsiTheme="minorHAnsi"/>
                <w:kern w:val="2"/>
                <w:szCs w:val="24"/>
                <w:lang w:eastAsia="tr-TR"/>
                <w14:ligatures w14:val="standardContextual"/>
              </w:rPr>
              <w:tab/>
            </w:r>
            <w:r w:rsidR="00156F57">
              <w:rPr>
                <w:rStyle w:val="Kpr"/>
                <w:b/>
                <w:bCs/>
                <w:color w:val="auto"/>
              </w:rPr>
              <w:t>Müşâreke</w:t>
            </w:r>
            <w:r w:rsidR="00AB2823" w:rsidRPr="00D949C0">
              <w:rPr>
                <w:rStyle w:val="Kpr"/>
                <w:b/>
                <w:bCs/>
                <w:color w:val="auto"/>
              </w:rPr>
              <w:t xml:space="preserve"> ile İlgili Genel Hükümler</w:t>
            </w:r>
            <w:r w:rsidR="00AB2823" w:rsidRPr="00D949C0">
              <w:rPr>
                <w:webHidden/>
              </w:rPr>
              <w:tab/>
            </w:r>
            <w:r w:rsidR="00AB2823" w:rsidRPr="00D949C0">
              <w:rPr>
                <w:webHidden/>
              </w:rPr>
              <w:fldChar w:fldCharType="begin"/>
            </w:r>
            <w:r w:rsidR="00AB2823" w:rsidRPr="00D949C0">
              <w:rPr>
                <w:webHidden/>
              </w:rPr>
              <w:instrText xml:space="preserve"> PAGEREF _Toc170257340 \h </w:instrText>
            </w:r>
            <w:r w:rsidR="00AB2823" w:rsidRPr="00D949C0">
              <w:rPr>
                <w:webHidden/>
              </w:rPr>
            </w:r>
            <w:r w:rsidR="00AB2823" w:rsidRPr="00D949C0">
              <w:rPr>
                <w:webHidden/>
              </w:rPr>
              <w:fldChar w:fldCharType="separate"/>
            </w:r>
            <w:r w:rsidR="006B7E04">
              <w:rPr>
                <w:webHidden/>
              </w:rPr>
              <w:t>5</w:t>
            </w:r>
            <w:r w:rsidR="00AB2823" w:rsidRPr="00D949C0">
              <w:rPr>
                <w:webHidden/>
              </w:rPr>
              <w:fldChar w:fldCharType="end"/>
            </w:r>
          </w:hyperlink>
        </w:p>
        <w:p w14:paraId="465D349F" w14:textId="4B41F481" w:rsidR="00AB2823" w:rsidRPr="00661B22" w:rsidRDefault="00DF3397" w:rsidP="00661B22">
          <w:pPr>
            <w:pStyle w:val="T1"/>
            <w:rPr>
              <w:rFonts w:asciiTheme="minorHAnsi" w:eastAsiaTheme="minorEastAsia" w:hAnsiTheme="minorHAnsi"/>
              <w:kern w:val="2"/>
              <w:szCs w:val="24"/>
              <w:lang w:eastAsia="tr-TR"/>
              <w14:ligatures w14:val="standardContextual"/>
            </w:rPr>
          </w:pPr>
          <w:hyperlink w:anchor="_Toc170257346" w:history="1">
            <w:r>
              <w:rPr>
                <w:rStyle w:val="Kpr"/>
                <w:b/>
                <w:bCs/>
                <w:color w:val="auto"/>
              </w:rPr>
              <w:t>III</w:t>
            </w:r>
            <w:r w:rsidR="00AB2823" w:rsidRPr="00D949C0">
              <w:rPr>
                <w:rStyle w:val="Kpr"/>
                <w:b/>
                <w:bCs/>
                <w:color w:val="auto"/>
              </w:rPr>
              <w:t>.</w:t>
            </w:r>
            <w:r w:rsidR="00AB2823" w:rsidRPr="00D949C0">
              <w:rPr>
                <w:rFonts w:asciiTheme="minorHAnsi" w:eastAsiaTheme="minorEastAsia" w:hAnsiTheme="minorHAnsi"/>
                <w:kern w:val="2"/>
                <w:szCs w:val="24"/>
                <w:lang w:eastAsia="tr-TR"/>
                <w14:ligatures w14:val="standardContextual"/>
              </w:rPr>
              <w:tab/>
            </w:r>
            <w:r w:rsidR="00156F57">
              <w:rPr>
                <w:rStyle w:val="Kpr"/>
                <w:b/>
                <w:bCs/>
                <w:color w:val="auto"/>
              </w:rPr>
              <w:t>Müşâreke</w:t>
            </w:r>
            <w:r w:rsidR="00AB2823" w:rsidRPr="00D949C0">
              <w:rPr>
                <w:rStyle w:val="Kpr"/>
                <w:b/>
                <w:bCs/>
                <w:color w:val="auto"/>
              </w:rPr>
              <w:t xml:space="preserve"> Sermayesi ile İlgili Hükümler</w:t>
            </w:r>
            <w:r w:rsidR="00AB2823" w:rsidRPr="00D949C0">
              <w:rPr>
                <w:webHidden/>
              </w:rPr>
              <w:tab/>
            </w:r>
            <w:r w:rsidR="00AB2823" w:rsidRPr="00D949C0">
              <w:rPr>
                <w:webHidden/>
              </w:rPr>
              <w:fldChar w:fldCharType="begin"/>
            </w:r>
            <w:r w:rsidR="00AB2823" w:rsidRPr="00D949C0">
              <w:rPr>
                <w:webHidden/>
              </w:rPr>
              <w:instrText xml:space="preserve"> PAGEREF _Toc170257346 \h </w:instrText>
            </w:r>
            <w:r w:rsidR="00AB2823" w:rsidRPr="00D949C0">
              <w:rPr>
                <w:webHidden/>
              </w:rPr>
            </w:r>
            <w:r w:rsidR="00AB2823" w:rsidRPr="00D949C0">
              <w:rPr>
                <w:webHidden/>
              </w:rPr>
              <w:fldChar w:fldCharType="separate"/>
            </w:r>
            <w:r w:rsidR="006B7E04">
              <w:rPr>
                <w:webHidden/>
              </w:rPr>
              <w:t>5</w:t>
            </w:r>
            <w:r w:rsidR="00AB2823" w:rsidRPr="00D949C0">
              <w:rPr>
                <w:webHidden/>
              </w:rPr>
              <w:fldChar w:fldCharType="end"/>
            </w:r>
          </w:hyperlink>
        </w:p>
        <w:p w14:paraId="39AB8B45" w14:textId="59E2FC23" w:rsidR="00AB2823" w:rsidRPr="00661B22" w:rsidRDefault="00DF3397" w:rsidP="00661B22">
          <w:pPr>
            <w:pStyle w:val="T1"/>
            <w:rPr>
              <w:rFonts w:asciiTheme="minorHAnsi" w:eastAsiaTheme="minorEastAsia" w:hAnsiTheme="minorHAnsi"/>
              <w:kern w:val="2"/>
              <w:szCs w:val="24"/>
              <w:lang w:eastAsia="tr-TR"/>
              <w14:ligatures w14:val="standardContextual"/>
            </w:rPr>
          </w:pPr>
          <w:hyperlink w:anchor="_Toc170257353" w:history="1">
            <w:r>
              <w:rPr>
                <w:rStyle w:val="Kpr"/>
                <w:b/>
                <w:bCs/>
                <w:color w:val="auto"/>
              </w:rPr>
              <w:t>IV</w:t>
            </w:r>
            <w:r w:rsidR="00AB2823" w:rsidRPr="00D949C0">
              <w:rPr>
                <w:rStyle w:val="Kpr"/>
                <w:b/>
                <w:bCs/>
                <w:color w:val="auto"/>
              </w:rPr>
              <w:t>.</w:t>
            </w:r>
            <w:r w:rsidR="00AB2823" w:rsidRPr="00D949C0">
              <w:rPr>
                <w:rFonts w:asciiTheme="minorHAnsi" w:eastAsiaTheme="minorEastAsia" w:hAnsiTheme="minorHAnsi"/>
                <w:kern w:val="2"/>
                <w:szCs w:val="24"/>
                <w:lang w:eastAsia="tr-TR"/>
                <w14:ligatures w14:val="standardContextual"/>
              </w:rPr>
              <w:tab/>
            </w:r>
            <w:r w:rsidR="00156F57">
              <w:rPr>
                <w:rStyle w:val="Kpr"/>
                <w:b/>
                <w:bCs/>
                <w:color w:val="auto"/>
              </w:rPr>
              <w:t>Müşâreke</w:t>
            </w:r>
            <w:r w:rsidR="00AB2823" w:rsidRPr="00D949C0">
              <w:rPr>
                <w:rStyle w:val="Kpr"/>
                <w:b/>
                <w:bCs/>
                <w:color w:val="auto"/>
              </w:rPr>
              <w:t>de Kâr-Zarar ile İlgili Hükümler</w:t>
            </w:r>
            <w:r w:rsidR="00AB2823" w:rsidRPr="00D949C0">
              <w:rPr>
                <w:webHidden/>
              </w:rPr>
              <w:tab/>
            </w:r>
            <w:r w:rsidR="00AB2823" w:rsidRPr="00D949C0">
              <w:rPr>
                <w:webHidden/>
              </w:rPr>
              <w:fldChar w:fldCharType="begin"/>
            </w:r>
            <w:r w:rsidR="00AB2823" w:rsidRPr="00D949C0">
              <w:rPr>
                <w:webHidden/>
              </w:rPr>
              <w:instrText xml:space="preserve"> PAGEREF _Toc170257353 \h </w:instrText>
            </w:r>
            <w:r w:rsidR="00AB2823" w:rsidRPr="00D949C0">
              <w:rPr>
                <w:webHidden/>
              </w:rPr>
            </w:r>
            <w:r w:rsidR="00AB2823" w:rsidRPr="00D949C0">
              <w:rPr>
                <w:webHidden/>
              </w:rPr>
              <w:fldChar w:fldCharType="separate"/>
            </w:r>
            <w:r w:rsidR="006B7E04">
              <w:rPr>
                <w:webHidden/>
              </w:rPr>
              <w:t>6</w:t>
            </w:r>
            <w:r w:rsidR="00AB2823" w:rsidRPr="00D949C0">
              <w:rPr>
                <w:webHidden/>
              </w:rPr>
              <w:fldChar w:fldCharType="end"/>
            </w:r>
          </w:hyperlink>
        </w:p>
        <w:p w14:paraId="5153A63F" w14:textId="4D85765E" w:rsidR="00AB2823" w:rsidRPr="00661B22" w:rsidRDefault="00DF3397" w:rsidP="00661B22">
          <w:pPr>
            <w:pStyle w:val="T1"/>
            <w:rPr>
              <w:rFonts w:asciiTheme="minorHAnsi" w:eastAsiaTheme="minorEastAsia" w:hAnsiTheme="minorHAnsi"/>
              <w:kern w:val="2"/>
              <w:szCs w:val="24"/>
              <w:lang w:eastAsia="tr-TR"/>
              <w14:ligatures w14:val="standardContextual"/>
            </w:rPr>
          </w:pPr>
          <w:hyperlink w:anchor="_Toc170257361" w:history="1">
            <w:r>
              <w:rPr>
                <w:rStyle w:val="Kpr"/>
                <w:b/>
                <w:bCs/>
                <w:color w:val="auto"/>
              </w:rPr>
              <w:t>V</w:t>
            </w:r>
            <w:r w:rsidR="00AB2823" w:rsidRPr="00D949C0">
              <w:rPr>
                <w:rStyle w:val="Kpr"/>
                <w:b/>
                <w:bCs/>
                <w:color w:val="auto"/>
              </w:rPr>
              <w:t>.</w:t>
            </w:r>
            <w:r w:rsidR="00AB2823" w:rsidRPr="00D949C0">
              <w:rPr>
                <w:rFonts w:asciiTheme="minorHAnsi" w:eastAsiaTheme="minorEastAsia" w:hAnsiTheme="minorHAnsi"/>
                <w:kern w:val="2"/>
                <w:szCs w:val="24"/>
                <w:lang w:eastAsia="tr-TR"/>
                <w14:ligatures w14:val="standardContextual"/>
              </w:rPr>
              <w:tab/>
            </w:r>
            <w:r w:rsidR="00156F57">
              <w:rPr>
                <w:rStyle w:val="Kpr"/>
                <w:b/>
                <w:bCs/>
                <w:color w:val="auto"/>
              </w:rPr>
              <w:t>Müşâreke</w:t>
            </w:r>
            <w:r w:rsidR="00AB2823" w:rsidRPr="00D949C0">
              <w:rPr>
                <w:rStyle w:val="Kpr"/>
                <w:b/>
                <w:bCs/>
                <w:color w:val="auto"/>
              </w:rPr>
              <w:t>nin Yönetimi ile İlgili Hükümler</w:t>
            </w:r>
            <w:r w:rsidR="00AB2823" w:rsidRPr="00D949C0">
              <w:rPr>
                <w:webHidden/>
              </w:rPr>
              <w:tab/>
            </w:r>
            <w:r w:rsidR="00AB2823" w:rsidRPr="00D949C0">
              <w:rPr>
                <w:webHidden/>
              </w:rPr>
              <w:fldChar w:fldCharType="begin"/>
            </w:r>
            <w:r w:rsidR="00AB2823" w:rsidRPr="00D949C0">
              <w:rPr>
                <w:webHidden/>
              </w:rPr>
              <w:instrText xml:space="preserve"> PAGEREF _Toc170257361 \h </w:instrText>
            </w:r>
            <w:r w:rsidR="00AB2823" w:rsidRPr="00D949C0">
              <w:rPr>
                <w:webHidden/>
              </w:rPr>
            </w:r>
            <w:r w:rsidR="00AB2823" w:rsidRPr="00D949C0">
              <w:rPr>
                <w:webHidden/>
              </w:rPr>
              <w:fldChar w:fldCharType="separate"/>
            </w:r>
            <w:r w:rsidR="006B7E04">
              <w:rPr>
                <w:webHidden/>
              </w:rPr>
              <w:t>7</w:t>
            </w:r>
            <w:r w:rsidR="00AB2823" w:rsidRPr="00D949C0">
              <w:rPr>
                <w:webHidden/>
              </w:rPr>
              <w:fldChar w:fldCharType="end"/>
            </w:r>
          </w:hyperlink>
        </w:p>
        <w:p w14:paraId="37FA436C" w14:textId="5E6A1AD4" w:rsidR="00AB2823" w:rsidRPr="00661B22" w:rsidRDefault="00DF3397" w:rsidP="00661B22">
          <w:pPr>
            <w:pStyle w:val="T1"/>
            <w:rPr>
              <w:rFonts w:asciiTheme="minorHAnsi" w:eastAsiaTheme="minorEastAsia" w:hAnsiTheme="minorHAnsi"/>
              <w:kern w:val="2"/>
              <w:szCs w:val="24"/>
              <w:lang w:eastAsia="tr-TR"/>
              <w14:ligatures w14:val="standardContextual"/>
            </w:rPr>
          </w:pPr>
          <w:hyperlink w:anchor="_Toc170257365" w:history="1">
            <w:r>
              <w:rPr>
                <w:rStyle w:val="Kpr"/>
                <w:b/>
                <w:bCs/>
                <w:color w:val="auto"/>
              </w:rPr>
              <w:t>VI</w:t>
            </w:r>
            <w:r w:rsidR="00AB2823" w:rsidRPr="00D949C0">
              <w:rPr>
                <w:rStyle w:val="Kpr"/>
                <w:b/>
                <w:bCs/>
                <w:color w:val="auto"/>
              </w:rPr>
              <w:t>.</w:t>
            </w:r>
            <w:r w:rsidR="00AB2823" w:rsidRPr="00D949C0">
              <w:rPr>
                <w:rFonts w:asciiTheme="minorHAnsi" w:eastAsiaTheme="minorEastAsia" w:hAnsiTheme="minorHAnsi"/>
                <w:kern w:val="2"/>
                <w:szCs w:val="24"/>
                <w:lang w:eastAsia="tr-TR"/>
                <w14:ligatures w14:val="standardContextual"/>
              </w:rPr>
              <w:tab/>
            </w:r>
            <w:r w:rsidR="00156F57">
              <w:rPr>
                <w:rStyle w:val="Kpr"/>
                <w:b/>
                <w:bCs/>
                <w:color w:val="auto"/>
              </w:rPr>
              <w:t>Müşâreke</w:t>
            </w:r>
            <w:r w:rsidR="00AB2823" w:rsidRPr="00D949C0">
              <w:rPr>
                <w:rStyle w:val="Kpr"/>
                <w:b/>
                <w:bCs/>
                <w:color w:val="auto"/>
              </w:rPr>
              <w:t>ye İlişkin Teminatlar ile İlgili Hüküm</w:t>
            </w:r>
            <w:r w:rsidR="006952BB">
              <w:rPr>
                <w:rStyle w:val="Kpr"/>
                <w:b/>
                <w:bCs/>
                <w:color w:val="auto"/>
              </w:rPr>
              <w:t>ler</w:t>
            </w:r>
            <w:r w:rsidR="00AB2823" w:rsidRPr="00D949C0">
              <w:rPr>
                <w:webHidden/>
              </w:rPr>
              <w:tab/>
            </w:r>
            <w:r w:rsidR="00AB2823" w:rsidRPr="00D949C0">
              <w:rPr>
                <w:webHidden/>
              </w:rPr>
              <w:fldChar w:fldCharType="begin"/>
            </w:r>
            <w:r w:rsidR="00AB2823" w:rsidRPr="00D949C0">
              <w:rPr>
                <w:webHidden/>
              </w:rPr>
              <w:instrText xml:space="preserve"> PAGEREF _Toc170257365 \h </w:instrText>
            </w:r>
            <w:r w:rsidR="00AB2823" w:rsidRPr="00D949C0">
              <w:rPr>
                <w:webHidden/>
              </w:rPr>
            </w:r>
            <w:r w:rsidR="00AB2823" w:rsidRPr="00D949C0">
              <w:rPr>
                <w:webHidden/>
              </w:rPr>
              <w:fldChar w:fldCharType="separate"/>
            </w:r>
            <w:r w:rsidR="006B7E04">
              <w:rPr>
                <w:webHidden/>
              </w:rPr>
              <w:t>7</w:t>
            </w:r>
            <w:r w:rsidR="00AB2823" w:rsidRPr="00D949C0">
              <w:rPr>
                <w:webHidden/>
              </w:rPr>
              <w:fldChar w:fldCharType="end"/>
            </w:r>
          </w:hyperlink>
        </w:p>
        <w:p w14:paraId="1715D95D" w14:textId="4546B440" w:rsidR="00AB2823" w:rsidRPr="00661B22" w:rsidRDefault="00DF3397" w:rsidP="00661B22">
          <w:pPr>
            <w:pStyle w:val="T1"/>
            <w:rPr>
              <w:rFonts w:asciiTheme="minorHAnsi" w:eastAsiaTheme="minorEastAsia" w:hAnsiTheme="minorHAnsi"/>
              <w:kern w:val="2"/>
              <w:szCs w:val="24"/>
              <w:lang w:eastAsia="tr-TR"/>
              <w14:ligatures w14:val="standardContextual"/>
            </w:rPr>
          </w:pPr>
          <w:hyperlink w:anchor="_Toc170257367" w:history="1">
            <w:r>
              <w:rPr>
                <w:rStyle w:val="Kpr"/>
                <w:b/>
                <w:bCs/>
                <w:color w:val="auto"/>
              </w:rPr>
              <w:t>VII</w:t>
            </w:r>
            <w:r w:rsidR="00AB2823" w:rsidRPr="00D949C0">
              <w:rPr>
                <w:rStyle w:val="Kpr"/>
                <w:b/>
                <w:bCs/>
                <w:color w:val="auto"/>
              </w:rPr>
              <w:t>.</w:t>
            </w:r>
            <w:r w:rsidR="00AB2823" w:rsidRPr="00D949C0">
              <w:rPr>
                <w:rFonts w:asciiTheme="minorHAnsi" w:eastAsiaTheme="minorEastAsia" w:hAnsiTheme="minorHAnsi"/>
                <w:kern w:val="2"/>
                <w:szCs w:val="24"/>
                <w:lang w:eastAsia="tr-TR"/>
                <w14:ligatures w14:val="standardContextual"/>
              </w:rPr>
              <w:tab/>
            </w:r>
            <w:r w:rsidR="00156F57">
              <w:rPr>
                <w:rStyle w:val="Kpr"/>
                <w:b/>
                <w:bCs/>
                <w:color w:val="auto"/>
              </w:rPr>
              <w:t>Müşâreke</w:t>
            </w:r>
            <w:r w:rsidR="00AB2823" w:rsidRPr="00D949C0">
              <w:rPr>
                <w:rStyle w:val="Kpr"/>
                <w:b/>
                <w:bCs/>
                <w:color w:val="auto"/>
              </w:rPr>
              <w:t>nin Sona Ermesi ile İlgili Hükümler</w:t>
            </w:r>
            <w:r w:rsidR="00AB2823" w:rsidRPr="00D949C0">
              <w:rPr>
                <w:webHidden/>
              </w:rPr>
              <w:tab/>
            </w:r>
            <w:r w:rsidR="00AB2823" w:rsidRPr="00D949C0">
              <w:rPr>
                <w:webHidden/>
              </w:rPr>
              <w:fldChar w:fldCharType="begin"/>
            </w:r>
            <w:r w:rsidR="00AB2823" w:rsidRPr="00D949C0">
              <w:rPr>
                <w:webHidden/>
              </w:rPr>
              <w:instrText xml:space="preserve"> PAGEREF _Toc170257367 \h </w:instrText>
            </w:r>
            <w:r w:rsidR="00AB2823" w:rsidRPr="00D949C0">
              <w:rPr>
                <w:webHidden/>
              </w:rPr>
            </w:r>
            <w:r w:rsidR="00AB2823" w:rsidRPr="00D949C0">
              <w:rPr>
                <w:webHidden/>
              </w:rPr>
              <w:fldChar w:fldCharType="separate"/>
            </w:r>
            <w:r w:rsidR="006B7E04">
              <w:rPr>
                <w:webHidden/>
              </w:rPr>
              <w:t>7</w:t>
            </w:r>
            <w:r w:rsidR="00AB2823" w:rsidRPr="00D949C0">
              <w:rPr>
                <w:webHidden/>
              </w:rPr>
              <w:fldChar w:fldCharType="end"/>
            </w:r>
          </w:hyperlink>
        </w:p>
        <w:p w14:paraId="3C408034" w14:textId="1491469C" w:rsidR="00AB2823" w:rsidRPr="00840976" w:rsidRDefault="00CA634F" w:rsidP="00D949C0">
          <w:pPr>
            <w:pStyle w:val="T1"/>
            <w:rPr>
              <w:rFonts w:asciiTheme="minorHAnsi" w:eastAsiaTheme="minorEastAsia" w:hAnsiTheme="minorHAnsi"/>
              <w:kern w:val="2"/>
              <w:szCs w:val="24"/>
              <w:lang w:eastAsia="tr-TR"/>
              <w14:ligatures w14:val="standardContextual"/>
            </w:rPr>
          </w:pPr>
          <w:hyperlink w:anchor="_Toc170257372" w:history="1">
            <w:r>
              <w:rPr>
                <w:rStyle w:val="Kpr"/>
                <w:rFonts w:eastAsia="Times New Roman" w:cs="Times New Roman"/>
                <w:b/>
                <w:color w:val="auto"/>
              </w:rPr>
              <w:t>GEREKÇELER</w:t>
            </w:r>
            <w:r w:rsidR="00AB2823" w:rsidRPr="00840976">
              <w:rPr>
                <w:webHidden/>
              </w:rPr>
              <w:tab/>
            </w:r>
            <w:r w:rsidR="00AB2823" w:rsidRPr="00840976">
              <w:rPr>
                <w:webHidden/>
              </w:rPr>
              <w:fldChar w:fldCharType="begin"/>
            </w:r>
            <w:r w:rsidR="00AB2823" w:rsidRPr="00840976">
              <w:rPr>
                <w:webHidden/>
              </w:rPr>
              <w:instrText xml:space="preserve"> PAGEREF _Toc170257372 \h </w:instrText>
            </w:r>
            <w:r w:rsidR="00AB2823" w:rsidRPr="00840976">
              <w:rPr>
                <w:webHidden/>
              </w:rPr>
            </w:r>
            <w:r w:rsidR="00AB2823" w:rsidRPr="00840976">
              <w:rPr>
                <w:webHidden/>
              </w:rPr>
              <w:fldChar w:fldCharType="separate"/>
            </w:r>
            <w:r w:rsidR="006B7E04">
              <w:rPr>
                <w:webHidden/>
              </w:rPr>
              <w:t>9</w:t>
            </w:r>
            <w:r w:rsidR="00AB2823" w:rsidRPr="00840976">
              <w:rPr>
                <w:webHidden/>
              </w:rPr>
              <w:fldChar w:fldCharType="end"/>
            </w:r>
          </w:hyperlink>
        </w:p>
        <w:p w14:paraId="1183264E" w14:textId="6D3A7145" w:rsidR="00AB2823" w:rsidRPr="00840976" w:rsidRDefault="00DF3397" w:rsidP="00D949C0">
          <w:pPr>
            <w:pStyle w:val="T1"/>
            <w:rPr>
              <w:rFonts w:asciiTheme="minorHAnsi" w:eastAsiaTheme="minorEastAsia" w:hAnsiTheme="minorHAnsi"/>
              <w:kern w:val="2"/>
              <w:szCs w:val="24"/>
              <w:lang w:eastAsia="tr-TR"/>
              <w14:ligatures w14:val="standardContextual"/>
            </w:rPr>
          </w:pPr>
          <w:hyperlink w:anchor="_Toc170257373" w:history="1">
            <w:r>
              <w:rPr>
                <w:rStyle w:val="Kpr"/>
                <w:rFonts w:eastAsia="Times New Roman" w:cs="Times New Roman"/>
                <w:b/>
                <w:color w:val="auto"/>
              </w:rPr>
              <w:t>I</w:t>
            </w:r>
            <w:r w:rsidR="00AB2823" w:rsidRPr="00840976">
              <w:rPr>
                <w:rStyle w:val="Kpr"/>
                <w:rFonts w:eastAsia="Times New Roman" w:cs="Times New Roman"/>
                <w:b/>
                <w:color w:val="auto"/>
              </w:rPr>
              <w:t>.</w:t>
            </w:r>
            <w:r w:rsidR="00AB2823" w:rsidRPr="00840976">
              <w:rPr>
                <w:rFonts w:asciiTheme="minorHAnsi" w:eastAsiaTheme="minorEastAsia" w:hAnsiTheme="minorHAnsi"/>
                <w:kern w:val="2"/>
                <w:szCs w:val="24"/>
                <w:lang w:eastAsia="tr-TR"/>
                <w14:ligatures w14:val="standardContextual"/>
              </w:rPr>
              <w:tab/>
            </w:r>
            <w:r w:rsidR="00156F57">
              <w:rPr>
                <w:rStyle w:val="Kpr"/>
                <w:rFonts w:eastAsia="Times New Roman" w:cs="Times New Roman"/>
                <w:b/>
                <w:color w:val="auto"/>
              </w:rPr>
              <w:t>Müşâreke</w:t>
            </w:r>
            <w:r w:rsidR="00AB2823" w:rsidRPr="00840976">
              <w:rPr>
                <w:rStyle w:val="Kpr"/>
                <w:rFonts w:eastAsia="Times New Roman" w:cs="Times New Roman"/>
                <w:b/>
                <w:color w:val="auto"/>
              </w:rPr>
              <w:t xml:space="preserve"> Tanımının Gerekçeleri</w:t>
            </w:r>
            <w:r w:rsidR="00AB2823" w:rsidRPr="00840976">
              <w:rPr>
                <w:webHidden/>
              </w:rPr>
              <w:tab/>
            </w:r>
            <w:r w:rsidR="00AB2823" w:rsidRPr="00840976">
              <w:rPr>
                <w:webHidden/>
              </w:rPr>
              <w:fldChar w:fldCharType="begin"/>
            </w:r>
            <w:r w:rsidR="00AB2823" w:rsidRPr="00840976">
              <w:rPr>
                <w:webHidden/>
              </w:rPr>
              <w:instrText xml:space="preserve"> PAGEREF _Toc170257373 \h </w:instrText>
            </w:r>
            <w:r w:rsidR="00AB2823" w:rsidRPr="00840976">
              <w:rPr>
                <w:webHidden/>
              </w:rPr>
            </w:r>
            <w:r w:rsidR="00AB2823" w:rsidRPr="00840976">
              <w:rPr>
                <w:webHidden/>
              </w:rPr>
              <w:fldChar w:fldCharType="separate"/>
            </w:r>
            <w:r w:rsidR="006B7E04">
              <w:rPr>
                <w:webHidden/>
              </w:rPr>
              <w:t>9</w:t>
            </w:r>
            <w:r w:rsidR="00AB2823" w:rsidRPr="00840976">
              <w:rPr>
                <w:webHidden/>
              </w:rPr>
              <w:fldChar w:fldCharType="end"/>
            </w:r>
          </w:hyperlink>
        </w:p>
        <w:p w14:paraId="6F6148E3" w14:textId="3260FC2B" w:rsidR="00AB2823" w:rsidRPr="00840976" w:rsidRDefault="00DF3397" w:rsidP="00D949C0">
          <w:pPr>
            <w:pStyle w:val="T1"/>
            <w:rPr>
              <w:rFonts w:asciiTheme="minorHAnsi" w:eastAsiaTheme="minorEastAsia" w:hAnsiTheme="minorHAnsi"/>
              <w:kern w:val="2"/>
              <w:szCs w:val="24"/>
              <w:lang w:eastAsia="tr-TR"/>
              <w14:ligatures w14:val="standardContextual"/>
            </w:rPr>
          </w:pPr>
          <w:hyperlink w:anchor="_Toc170257374" w:history="1">
            <w:r>
              <w:rPr>
                <w:rStyle w:val="Kpr"/>
                <w:rFonts w:eastAsia="Times New Roman" w:cs="Times New Roman"/>
                <w:b/>
                <w:color w:val="auto"/>
              </w:rPr>
              <w:t>II</w:t>
            </w:r>
            <w:r w:rsidR="00AB2823" w:rsidRPr="00840976">
              <w:rPr>
                <w:rStyle w:val="Kpr"/>
                <w:rFonts w:eastAsia="Times New Roman" w:cs="Times New Roman"/>
                <w:b/>
                <w:color w:val="auto"/>
              </w:rPr>
              <w:t>.</w:t>
            </w:r>
            <w:r w:rsidR="00AB2823" w:rsidRPr="00840976">
              <w:rPr>
                <w:rFonts w:asciiTheme="minorHAnsi" w:eastAsiaTheme="minorEastAsia" w:hAnsiTheme="minorHAnsi"/>
                <w:kern w:val="2"/>
                <w:szCs w:val="24"/>
                <w:lang w:eastAsia="tr-TR"/>
                <w14:ligatures w14:val="standardContextual"/>
              </w:rPr>
              <w:tab/>
            </w:r>
            <w:r w:rsidR="00156F57">
              <w:rPr>
                <w:rStyle w:val="Kpr"/>
                <w:rFonts w:eastAsia="Times New Roman" w:cs="Times New Roman"/>
                <w:b/>
                <w:color w:val="auto"/>
              </w:rPr>
              <w:t>Müşâreke</w:t>
            </w:r>
            <w:r w:rsidR="00AB2823" w:rsidRPr="00840976">
              <w:rPr>
                <w:rStyle w:val="Kpr"/>
                <w:rFonts w:eastAsia="Times New Roman" w:cs="Times New Roman"/>
                <w:b/>
                <w:color w:val="auto"/>
              </w:rPr>
              <w:t xml:space="preserve"> ile İlgili Genel Hükümlerin Gerekçeleri</w:t>
            </w:r>
            <w:r w:rsidR="00AB2823" w:rsidRPr="00840976">
              <w:rPr>
                <w:webHidden/>
              </w:rPr>
              <w:tab/>
            </w:r>
            <w:r w:rsidR="00AB2823" w:rsidRPr="00840976">
              <w:rPr>
                <w:webHidden/>
              </w:rPr>
              <w:fldChar w:fldCharType="begin"/>
            </w:r>
            <w:r w:rsidR="00AB2823" w:rsidRPr="00840976">
              <w:rPr>
                <w:webHidden/>
              </w:rPr>
              <w:instrText xml:space="preserve"> PAGEREF _Toc170257374 \h </w:instrText>
            </w:r>
            <w:r w:rsidR="00AB2823" w:rsidRPr="00840976">
              <w:rPr>
                <w:webHidden/>
              </w:rPr>
            </w:r>
            <w:r w:rsidR="00AB2823" w:rsidRPr="00840976">
              <w:rPr>
                <w:webHidden/>
              </w:rPr>
              <w:fldChar w:fldCharType="separate"/>
            </w:r>
            <w:r w:rsidR="006B7E04">
              <w:rPr>
                <w:webHidden/>
              </w:rPr>
              <w:t>9</w:t>
            </w:r>
            <w:r w:rsidR="00AB2823" w:rsidRPr="00840976">
              <w:rPr>
                <w:webHidden/>
              </w:rPr>
              <w:fldChar w:fldCharType="end"/>
            </w:r>
          </w:hyperlink>
        </w:p>
        <w:p w14:paraId="02362268" w14:textId="2BCDBEDC" w:rsidR="00AB2823" w:rsidRPr="00840976" w:rsidRDefault="00DF3397" w:rsidP="00D949C0">
          <w:pPr>
            <w:pStyle w:val="T1"/>
            <w:rPr>
              <w:rFonts w:asciiTheme="minorHAnsi" w:eastAsiaTheme="minorEastAsia" w:hAnsiTheme="minorHAnsi"/>
              <w:kern w:val="2"/>
              <w:szCs w:val="24"/>
              <w:lang w:eastAsia="tr-TR"/>
              <w14:ligatures w14:val="standardContextual"/>
            </w:rPr>
          </w:pPr>
          <w:hyperlink w:anchor="_Toc170257375" w:history="1">
            <w:r>
              <w:rPr>
                <w:rStyle w:val="Kpr"/>
                <w:rFonts w:eastAsia="Times New Roman" w:cs="Times New Roman"/>
                <w:b/>
                <w:color w:val="auto"/>
              </w:rPr>
              <w:t>III</w:t>
            </w:r>
            <w:r w:rsidR="00AB2823" w:rsidRPr="00840976">
              <w:rPr>
                <w:rStyle w:val="Kpr"/>
                <w:rFonts w:eastAsia="Times New Roman" w:cs="Times New Roman"/>
                <w:b/>
                <w:color w:val="auto"/>
              </w:rPr>
              <w:t>.</w:t>
            </w:r>
            <w:r w:rsidR="00AB2823" w:rsidRPr="00840976">
              <w:rPr>
                <w:rFonts w:asciiTheme="minorHAnsi" w:eastAsiaTheme="minorEastAsia" w:hAnsiTheme="minorHAnsi"/>
                <w:kern w:val="2"/>
                <w:szCs w:val="24"/>
                <w:lang w:eastAsia="tr-TR"/>
                <w14:ligatures w14:val="standardContextual"/>
              </w:rPr>
              <w:tab/>
            </w:r>
            <w:r w:rsidR="00156F57">
              <w:rPr>
                <w:rStyle w:val="Kpr"/>
                <w:rFonts w:eastAsia="Times New Roman" w:cs="Times New Roman"/>
                <w:b/>
                <w:color w:val="auto"/>
              </w:rPr>
              <w:t>Müşâreke</w:t>
            </w:r>
            <w:r w:rsidR="00AB2823" w:rsidRPr="00840976">
              <w:rPr>
                <w:rStyle w:val="Kpr"/>
                <w:rFonts w:eastAsia="Times New Roman" w:cs="Times New Roman"/>
                <w:b/>
                <w:color w:val="auto"/>
              </w:rPr>
              <w:t xml:space="preserve"> Sermayesi ile İlgili Hükümlerin Gerekçeleri</w:t>
            </w:r>
            <w:r w:rsidR="00AB2823" w:rsidRPr="00840976">
              <w:rPr>
                <w:webHidden/>
              </w:rPr>
              <w:tab/>
            </w:r>
            <w:r w:rsidR="00AB2823" w:rsidRPr="00840976">
              <w:rPr>
                <w:webHidden/>
              </w:rPr>
              <w:fldChar w:fldCharType="begin"/>
            </w:r>
            <w:r w:rsidR="00AB2823" w:rsidRPr="00840976">
              <w:rPr>
                <w:webHidden/>
              </w:rPr>
              <w:instrText xml:space="preserve"> PAGEREF _Toc170257375 \h </w:instrText>
            </w:r>
            <w:r w:rsidR="00AB2823" w:rsidRPr="00840976">
              <w:rPr>
                <w:webHidden/>
              </w:rPr>
            </w:r>
            <w:r w:rsidR="00AB2823" w:rsidRPr="00840976">
              <w:rPr>
                <w:webHidden/>
              </w:rPr>
              <w:fldChar w:fldCharType="separate"/>
            </w:r>
            <w:r w:rsidR="006B7E04">
              <w:rPr>
                <w:webHidden/>
              </w:rPr>
              <w:t>10</w:t>
            </w:r>
            <w:r w:rsidR="00AB2823" w:rsidRPr="00840976">
              <w:rPr>
                <w:webHidden/>
              </w:rPr>
              <w:fldChar w:fldCharType="end"/>
            </w:r>
          </w:hyperlink>
        </w:p>
        <w:p w14:paraId="71D29FA8" w14:textId="60A32494" w:rsidR="00AB2823" w:rsidRPr="00840976" w:rsidRDefault="00DF3397" w:rsidP="00D949C0">
          <w:pPr>
            <w:pStyle w:val="T1"/>
            <w:rPr>
              <w:rFonts w:asciiTheme="minorHAnsi" w:eastAsiaTheme="minorEastAsia" w:hAnsiTheme="minorHAnsi"/>
              <w:kern w:val="2"/>
              <w:szCs w:val="24"/>
              <w:lang w:eastAsia="tr-TR"/>
              <w14:ligatures w14:val="standardContextual"/>
            </w:rPr>
          </w:pPr>
          <w:hyperlink w:anchor="_Toc170257376" w:history="1">
            <w:r>
              <w:rPr>
                <w:rStyle w:val="Kpr"/>
                <w:rFonts w:eastAsia="Times New Roman" w:cs="Times New Roman"/>
                <w:b/>
                <w:color w:val="auto"/>
              </w:rPr>
              <w:t>IV</w:t>
            </w:r>
            <w:r w:rsidR="00AB2823" w:rsidRPr="00840976">
              <w:rPr>
                <w:rStyle w:val="Kpr"/>
                <w:rFonts w:eastAsia="Times New Roman" w:cs="Times New Roman"/>
                <w:b/>
                <w:color w:val="auto"/>
              </w:rPr>
              <w:t>.</w:t>
            </w:r>
            <w:r w:rsidR="00AB2823" w:rsidRPr="00840976">
              <w:rPr>
                <w:rFonts w:asciiTheme="minorHAnsi" w:eastAsiaTheme="minorEastAsia" w:hAnsiTheme="minorHAnsi"/>
                <w:kern w:val="2"/>
                <w:szCs w:val="24"/>
                <w:lang w:eastAsia="tr-TR"/>
                <w14:ligatures w14:val="standardContextual"/>
              </w:rPr>
              <w:tab/>
            </w:r>
            <w:r w:rsidR="00156F57">
              <w:rPr>
                <w:rStyle w:val="Kpr"/>
                <w:rFonts w:eastAsia="Times New Roman" w:cs="Times New Roman"/>
                <w:b/>
                <w:color w:val="auto"/>
              </w:rPr>
              <w:t>Müşâreke</w:t>
            </w:r>
            <w:r w:rsidR="00AB2823" w:rsidRPr="00840976">
              <w:rPr>
                <w:rStyle w:val="Kpr"/>
                <w:rFonts w:eastAsia="Times New Roman" w:cs="Times New Roman"/>
                <w:b/>
                <w:color w:val="auto"/>
              </w:rPr>
              <w:t>de Kâr-Zarar ile İlgili Hükümlerin Gerekçeleri</w:t>
            </w:r>
            <w:r w:rsidR="00AB2823" w:rsidRPr="00840976">
              <w:rPr>
                <w:webHidden/>
              </w:rPr>
              <w:tab/>
            </w:r>
            <w:r w:rsidR="00AB2823" w:rsidRPr="00840976">
              <w:rPr>
                <w:webHidden/>
              </w:rPr>
              <w:fldChar w:fldCharType="begin"/>
            </w:r>
            <w:r w:rsidR="00AB2823" w:rsidRPr="00840976">
              <w:rPr>
                <w:webHidden/>
              </w:rPr>
              <w:instrText xml:space="preserve"> PAGEREF _Toc170257376 \h </w:instrText>
            </w:r>
            <w:r w:rsidR="00AB2823" w:rsidRPr="00840976">
              <w:rPr>
                <w:webHidden/>
              </w:rPr>
            </w:r>
            <w:r w:rsidR="00AB2823" w:rsidRPr="00840976">
              <w:rPr>
                <w:webHidden/>
              </w:rPr>
              <w:fldChar w:fldCharType="separate"/>
            </w:r>
            <w:r w:rsidR="006B7E04">
              <w:rPr>
                <w:webHidden/>
              </w:rPr>
              <w:t>11</w:t>
            </w:r>
            <w:r w:rsidR="00AB2823" w:rsidRPr="00840976">
              <w:rPr>
                <w:webHidden/>
              </w:rPr>
              <w:fldChar w:fldCharType="end"/>
            </w:r>
          </w:hyperlink>
        </w:p>
        <w:p w14:paraId="3843F2DC" w14:textId="58E32BD9" w:rsidR="00AB2823" w:rsidRPr="00840976" w:rsidRDefault="00DF3397" w:rsidP="00D949C0">
          <w:pPr>
            <w:pStyle w:val="T1"/>
            <w:rPr>
              <w:rFonts w:asciiTheme="minorHAnsi" w:eastAsiaTheme="minorEastAsia" w:hAnsiTheme="minorHAnsi"/>
              <w:kern w:val="2"/>
              <w:szCs w:val="24"/>
              <w:lang w:eastAsia="tr-TR"/>
              <w14:ligatures w14:val="standardContextual"/>
            </w:rPr>
          </w:pPr>
          <w:hyperlink w:anchor="_Toc170257377" w:history="1">
            <w:r>
              <w:rPr>
                <w:rStyle w:val="Kpr"/>
                <w:rFonts w:eastAsia="Times New Roman" w:cs="Times New Roman"/>
                <w:b/>
                <w:color w:val="auto"/>
              </w:rPr>
              <w:t>V</w:t>
            </w:r>
            <w:r w:rsidR="00AB2823" w:rsidRPr="00840976">
              <w:rPr>
                <w:rStyle w:val="Kpr"/>
                <w:rFonts w:eastAsia="Times New Roman" w:cs="Times New Roman"/>
                <w:b/>
                <w:color w:val="auto"/>
              </w:rPr>
              <w:t>.</w:t>
            </w:r>
            <w:r w:rsidR="00AB2823" w:rsidRPr="00840976">
              <w:rPr>
                <w:rFonts w:asciiTheme="minorHAnsi" w:eastAsiaTheme="minorEastAsia" w:hAnsiTheme="minorHAnsi"/>
                <w:kern w:val="2"/>
                <w:szCs w:val="24"/>
                <w:lang w:eastAsia="tr-TR"/>
                <w14:ligatures w14:val="standardContextual"/>
              </w:rPr>
              <w:tab/>
            </w:r>
            <w:r w:rsidR="00156F57">
              <w:rPr>
                <w:rStyle w:val="Kpr"/>
                <w:rFonts w:eastAsia="Times New Roman" w:cs="Times New Roman"/>
                <w:b/>
                <w:color w:val="auto"/>
              </w:rPr>
              <w:t>Müşâreke</w:t>
            </w:r>
            <w:r w:rsidR="00AB2823" w:rsidRPr="00840976">
              <w:rPr>
                <w:rStyle w:val="Kpr"/>
                <w:rFonts w:eastAsia="Times New Roman" w:cs="Times New Roman"/>
                <w:b/>
                <w:color w:val="auto"/>
              </w:rPr>
              <w:t>nin Yönetimi ile İlgili Hükümlerin Gerekçeleri</w:t>
            </w:r>
            <w:r w:rsidR="00AB2823" w:rsidRPr="00840976">
              <w:rPr>
                <w:webHidden/>
              </w:rPr>
              <w:tab/>
            </w:r>
            <w:r w:rsidR="00AB2823" w:rsidRPr="00840976">
              <w:rPr>
                <w:webHidden/>
              </w:rPr>
              <w:fldChar w:fldCharType="begin"/>
            </w:r>
            <w:r w:rsidR="00AB2823" w:rsidRPr="00840976">
              <w:rPr>
                <w:webHidden/>
              </w:rPr>
              <w:instrText xml:space="preserve"> PAGEREF _Toc170257377 \h </w:instrText>
            </w:r>
            <w:r w:rsidR="00AB2823" w:rsidRPr="00840976">
              <w:rPr>
                <w:webHidden/>
              </w:rPr>
            </w:r>
            <w:r w:rsidR="00AB2823" w:rsidRPr="00840976">
              <w:rPr>
                <w:webHidden/>
              </w:rPr>
              <w:fldChar w:fldCharType="separate"/>
            </w:r>
            <w:r w:rsidR="006B7E04">
              <w:rPr>
                <w:webHidden/>
              </w:rPr>
              <w:t>14</w:t>
            </w:r>
            <w:r w:rsidR="00AB2823" w:rsidRPr="00840976">
              <w:rPr>
                <w:webHidden/>
              </w:rPr>
              <w:fldChar w:fldCharType="end"/>
            </w:r>
          </w:hyperlink>
        </w:p>
        <w:p w14:paraId="21C8B206" w14:textId="5C1E0D4D" w:rsidR="00AB2823" w:rsidRPr="00840976" w:rsidRDefault="00DF3397" w:rsidP="00D949C0">
          <w:pPr>
            <w:pStyle w:val="T1"/>
            <w:rPr>
              <w:rFonts w:asciiTheme="minorHAnsi" w:eastAsiaTheme="minorEastAsia" w:hAnsiTheme="minorHAnsi"/>
              <w:kern w:val="2"/>
              <w:szCs w:val="24"/>
              <w:lang w:eastAsia="tr-TR"/>
              <w14:ligatures w14:val="standardContextual"/>
            </w:rPr>
          </w:pPr>
          <w:hyperlink w:anchor="_Toc170257378" w:history="1">
            <w:r>
              <w:rPr>
                <w:rStyle w:val="Kpr"/>
                <w:rFonts w:eastAsia="Times New Roman" w:cs="Times New Roman"/>
                <w:b/>
                <w:color w:val="auto"/>
              </w:rPr>
              <w:t>VI</w:t>
            </w:r>
            <w:r w:rsidR="00AB2823" w:rsidRPr="00840976">
              <w:rPr>
                <w:rStyle w:val="Kpr"/>
                <w:rFonts w:eastAsia="Times New Roman" w:cs="Times New Roman"/>
                <w:b/>
                <w:color w:val="auto"/>
              </w:rPr>
              <w:t>.</w:t>
            </w:r>
            <w:r w:rsidR="00AB2823" w:rsidRPr="00840976">
              <w:rPr>
                <w:rFonts w:asciiTheme="minorHAnsi" w:eastAsiaTheme="minorEastAsia" w:hAnsiTheme="minorHAnsi"/>
                <w:kern w:val="2"/>
                <w:szCs w:val="24"/>
                <w:lang w:eastAsia="tr-TR"/>
                <w14:ligatures w14:val="standardContextual"/>
              </w:rPr>
              <w:tab/>
            </w:r>
            <w:r w:rsidR="00156F57">
              <w:rPr>
                <w:rStyle w:val="Kpr"/>
                <w:rFonts w:eastAsia="Times New Roman" w:cs="Times New Roman"/>
                <w:b/>
                <w:color w:val="auto"/>
              </w:rPr>
              <w:t>Müşâreke</w:t>
            </w:r>
            <w:r w:rsidR="00AB2823" w:rsidRPr="00840976">
              <w:rPr>
                <w:rStyle w:val="Kpr"/>
                <w:rFonts w:eastAsia="Times New Roman" w:cs="Times New Roman"/>
                <w:b/>
                <w:color w:val="auto"/>
              </w:rPr>
              <w:t>ye İlişkin Teminatlar ile İlgili Hükümlerin Gerekçeleri</w:t>
            </w:r>
            <w:r w:rsidR="00AB2823" w:rsidRPr="00840976">
              <w:rPr>
                <w:webHidden/>
              </w:rPr>
              <w:tab/>
            </w:r>
            <w:r w:rsidR="00AB2823" w:rsidRPr="00840976">
              <w:rPr>
                <w:webHidden/>
              </w:rPr>
              <w:fldChar w:fldCharType="begin"/>
            </w:r>
            <w:r w:rsidR="00AB2823" w:rsidRPr="00840976">
              <w:rPr>
                <w:webHidden/>
              </w:rPr>
              <w:instrText xml:space="preserve"> PAGEREF _Toc170257378 \h </w:instrText>
            </w:r>
            <w:r w:rsidR="00AB2823" w:rsidRPr="00840976">
              <w:rPr>
                <w:webHidden/>
              </w:rPr>
            </w:r>
            <w:r w:rsidR="00AB2823" w:rsidRPr="00840976">
              <w:rPr>
                <w:webHidden/>
              </w:rPr>
              <w:fldChar w:fldCharType="separate"/>
            </w:r>
            <w:r w:rsidR="006B7E04">
              <w:rPr>
                <w:webHidden/>
              </w:rPr>
              <w:t>16</w:t>
            </w:r>
            <w:r w:rsidR="00AB2823" w:rsidRPr="00840976">
              <w:rPr>
                <w:webHidden/>
              </w:rPr>
              <w:fldChar w:fldCharType="end"/>
            </w:r>
          </w:hyperlink>
        </w:p>
        <w:p w14:paraId="2B624A53" w14:textId="2DF2AF68" w:rsidR="00AB2823" w:rsidRPr="00840976" w:rsidRDefault="00DF3397" w:rsidP="00D949C0">
          <w:pPr>
            <w:pStyle w:val="T1"/>
            <w:rPr>
              <w:rFonts w:asciiTheme="minorHAnsi" w:eastAsiaTheme="minorEastAsia" w:hAnsiTheme="minorHAnsi"/>
              <w:kern w:val="2"/>
              <w:szCs w:val="24"/>
              <w:lang w:eastAsia="tr-TR"/>
              <w14:ligatures w14:val="standardContextual"/>
            </w:rPr>
          </w:pPr>
          <w:hyperlink w:anchor="_Toc170257379" w:history="1">
            <w:r>
              <w:rPr>
                <w:rStyle w:val="Kpr"/>
                <w:rFonts w:eastAsia="Times New Roman" w:cs="Times New Roman"/>
                <w:b/>
                <w:color w:val="auto"/>
              </w:rPr>
              <w:t>VII</w:t>
            </w:r>
            <w:r w:rsidR="00AB2823" w:rsidRPr="00840976">
              <w:rPr>
                <w:rStyle w:val="Kpr"/>
                <w:rFonts w:eastAsia="Times New Roman" w:cs="Times New Roman"/>
                <w:b/>
                <w:color w:val="auto"/>
              </w:rPr>
              <w:t>.</w:t>
            </w:r>
            <w:r w:rsidR="00AB2823" w:rsidRPr="00840976">
              <w:rPr>
                <w:rFonts w:asciiTheme="minorHAnsi" w:eastAsiaTheme="minorEastAsia" w:hAnsiTheme="minorHAnsi"/>
                <w:kern w:val="2"/>
                <w:szCs w:val="24"/>
                <w:lang w:eastAsia="tr-TR"/>
                <w14:ligatures w14:val="standardContextual"/>
              </w:rPr>
              <w:tab/>
            </w:r>
            <w:r w:rsidR="00156F57">
              <w:rPr>
                <w:rStyle w:val="Kpr"/>
                <w:rFonts w:eastAsia="Times New Roman" w:cs="Times New Roman"/>
                <w:b/>
                <w:color w:val="auto"/>
              </w:rPr>
              <w:t>Müşâreke</w:t>
            </w:r>
            <w:r w:rsidR="00AB2823" w:rsidRPr="00840976">
              <w:rPr>
                <w:rStyle w:val="Kpr"/>
                <w:rFonts w:eastAsia="Times New Roman" w:cs="Times New Roman"/>
                <w:b/>
                <w:color w:val="auto"/>
              </w:rPr>
              <w:t>nin Sona Ermesi ile İlgili Hükümlerin Gerekçeleri</w:t>
            </w:r>
            <w:r w:rsidR="00AB2823" w:rsidRPr="00840976">
              <w:rPr>
                <w:webHidden/>
              </w:rPr>
              <w:tab/>
            </w:r>
            <w:r w:rsidR="00AB2823" w:rsidRPr="00840976">
              <w:rPr>
                <w:webHidden/>
              </w:rPr>
              <w:fldChar w:fldCharType="begin"/>
            </w:r>
            <w:r w:rsidR="00AB2823" w:rsidRPr="00840976">
              <w:rPr>
                <w:webHidden/>
              </w:rPr>
              <w:instrText xml:space="preserve"> PAGEREF _Toc170257379 \h </w:instrText>
            </w:r>
            <w:r w:rsidR="00AB2823" w:rsidRPr="00840976">
              <w:rPr>
                <w:webHidden/>
              </w:rPr>
            </w:r>
            <w:r w:rsidR="00AB2823" w:rsidRPr="00840976">
              <w:rPr>
                <w:webHidden/>
              </w:rPr>
              <w:fldChar w:fldCharType="separate"/>
            </w:r>
            <w:r w:rsidR="006B7E04">
              <w:rPr>
                <w:webHidden/>
              </w:rPr>
              <w:t>16</w:t>
            </w:r>
            <w:r w:rsidR="00AB2823" w:rsidRPr="00840976">
              <w:rPr>
                <w:webHidden/>
              </w:rPr>
              <w:fldChar w:fldCharType="end"/>
            </w:r>
          </w:hyperlink>
        </w:p>
        <w:p w14:paraId="0E3D8539" w14:textId="74CA2A31" w:rsidR="008310C9" w:rsidRPr="00840976" w:rsidRDefault="008310C9">
          <w:r w:rsidRPr="00840976">
            <w:rPr>
              <w:b/>
              <w:bCs/>
            </w:rPr>
            <w:fldChar w:fldCharType="end"/>
          </w:r>
        </w:p>
      </w:sdtContent>
    </w:sdt>
    <w:p w14:paraId="14E27BBE" w14:textId="77777777" w:rsidR="00842E87" w:rsidRPr="00840976" w:rsidRDefault="00842E87" w:rsidP="009501E8">
      <w:pPr>
        <w:pStyle w:val="ListeParagraf"/>
        <w:tabs>
          <w:tab w:val="left" w:pos="284"/>
        </w:tabs>
        <w:spacing w:line="360" w:lineRule="auto"/>
        <w:ind w:left="1080"/>
        <w:jc w:val="both"/>
        <w:rPr>
          <w:rFonts w:cs="Times New Roman"/>
          <w:i/>
          <w:iCs/>
          <w:szCs w:val="24"/>
        </w:rPr>
      </w:pPr>
    </w:p>
    <w:p w14:paraId="4FB1D67A" w14:textId="77777777" w:rsidR="00842E87" w:rsidRPr="00840976" w:rsidRDefault="00842E87" w:rsidP="009501E8">
      <w:pPr>
        <w:tabs>
          <w:tab w:val="left" w:pos="284"/>
        </w:tabs>
        <w:spacing w:line="360" w:lineRule="auto"/>
        <w:jc w:val="both"/>
        <w:rPr>
          <w:rFonts w:cs="Times New Roman"/>
          <w:i/>
          <w:iCs/>
          <w:szCs w:val="24"/>
        </w:rPr>
      </w:pPr>
    </w:p>
    <w:p w14:paraId="747DF7D5" w14:textId="77777777" w:rsidR="00842E87" w:rsidRPr="00840976" w:rsidRDefault="00842E87" w:rsidP="009501E8">
      <w:pPr>
        <w:tabs>
          <w:tab w:val="left" w:pos="284"/>
        </w:tabs>
        <w:spacing w:line="360" w:lineRule="auto"/>
        <w:jc w:val="both"/>
        <w:rPr>
          <w:rFonts w:cs="Times New Roman"/>
          <w:i/>
          <w:iCs/>
          <w:szCs w:val="24"/>
        </w:rPr>
      </w:pPr>
    </w:p>
    <w:p w14:paraId="1F99ADB4" w14:textId="77777777" w:rsidR="00842E87" w:rsidRPr="00840976" w:rsidRDefault="00842E87" w:rsidP="009501E8">
      <w:pPr>
        <w:tabs>
          <w:tab w:val="left" w:pos="284"/>
        </w:tabs>
        <w:spacing w:line="360" w:lineRule="auto"/>
        <w:jc w:val="both"/>
        <w:rPr>
          <w:rFonts w:cs="Times New Roman"/>
          <w:i/>
          <w:iCs/>
          <w:szCs w:val="24"/>
        </w:rPr>
      </w:pPr>
    </w:p>
    <w:p w14:paraId="65A987AA" w14:textId="77777777" w:rsidR="00842E87" w:rsidRPr="00840976" w:rsidRDefault="00842E87" w:rsidP="009501E8">
      <w:pPr>
        <w:tabs>
          <w:tab w:val="left" w:pos="284"/>
        </w:tabs>
        <w:spacing w:line="360" w:lineRule="auto"/>
        <w:jc w:val="both"/>
        <w:rPr>
          <w:rFonts w:cs="Times New Roman"/>
          <w:i/>
          <w:iCs/>
          <w:szCs w:val="24"/>
        </w:rPr>
      </w:pPr>
    </w:p>
    <w:p w14:paraId="33C66438" w14:textId="77777777" w:rsidR="00842E87" w:rsidRPr="00840976" w:rsidRDefault="00842E87" w:rsidP="009501E8">
      <w:pPr>
        <w:tabs>
          <w:tab w:val="left" w:pos="284"/>
        </w:tabs>
        <w:spacing w:line="360" w:lineRule="auto"/>
        <w:jc w:val="both"/>
        <w:rPr>
          <w:rFonts w:cs="Times New Roman"/>
          <w:i/>
          <w:iCs/>
          <w:szCs w:val="24"/>
        </w:rPr>
      </w:pPr>
    </w:p>
    <w:p w14:paraId="5CFF7B8E" w14:textId="77777777" w:rsidR="00842E87" w:rsidRPr="00840976" w:rsidRDefault="00842E87" w:rsidP="009501E8">
      <w:pPr>
        <w:tabs>
          <w:tab w:val="left" w:pos="284"/>
        </w:tabs>
        <w:spacing w:line="360" w:lineRule="auto"/>
        <w:jc w:val="both"/>
        <w:rPr>
          <w:rFonts w:cs="Times New Roman"/>
          <w:i/>
          <w:iCs/>
          <w:szCs w:val="24"/>
        </w:rPr>
      </w:pPr>
    </w:p>
    <w:p w14:paraId="5033CDCD" w14:textId="77777777" w:rsidR="00842E87" w:rsidRPr="00840976" w:rsidRDefault="00842E87" w:rsidP="009501E8">
      <w:pPr>
        <w:tabs>
          <w:tab w:val="left" w:pos="284"/>
        </w:tabs>
        <w:spacing w:line="360" w:lineRule="auto"/>
        <w:jc w:val="both"/>
        <w:rPr>
          <w:rFonts w:cs="Times New Roman"/>
          <w:i/>
          <w:iCs/>
          <w:szCs w:val="24"/>
        </w:rPr>
      </w:pPr>
    </w:p>
    <w:p w14:paraId="6E6B1BCB" w14:textId="77777777" w:rsidR="00842E87" w:rsidRPr="00840976" w:rsidRDefault="00842E87" w:rsidP="009501E8">
      <w:pPr>
        <w:tabs>
          <w:tab w:val="left" w:pos="284"/>
        </w:tabs>
        <w:spacing w:line="360" w:lineRule="auto"/>
        <w:jc w:val="both"/>
        <w:rPr>
          <w:rFonts w:cs="Times New Roman"/>
          <w:i/>
          <w:iCs/>
          <w:szCs w:val="24"/>
        </w:rPr>
      </w:pPr>
    </w:p>
    <w:p w14:paraId="1E163149" w14:textId="77777777" w:rsidR="00842E87" w:rsidRPr="00840976" w:rsidRDefault="00842E87" w:rsidP="009501E8">
      <w:pPr>
        <w:tabs>
          <w:tab w:val="left" w:pos="284"/>
        </w:tabs>
        <w:spacing w:line="360" w:lineRule="auto"/>
        <w:jc w:val="both"/>
        <w:rPr>
          <w:rFonts w:cs="Times New Roman"/>
          <w:i/>
          <w:iCs/>
          <w:szCs w:val="24"/>
        </w:rPr>
      </w:pPr>
    </w:p>
    <w:p w14:paraId="35BA3D71" w14:textId="77777777" w:rsidR="00842E87" w:rsidRPr="00840976" w:rsidRDefault="00842E87" w:rsidP="009501E8">
      <w:pPr>
        <w:tabs>
          <w:tab w:val="left" w:pos="284"/>
        </w:tabs>
        <w:spacing w:line="360" w:lineRule="auto"/>
        <w:jc w:val="both"/>
        <w:rPr>
          <w:rFonts w:cs="Times New Roman"/>
          <w:i/>
          <w:iCs/>
          <w:szCs w:val="24"/>
        </w:rPr>
      </w:pPr>
    </w:p>
    <w:p w14:paraId="67F9D2E5" w14:textId="77777777" w:rsidR="00D93CCA" w:rsidRPr="00840976" w:rsidRDefault="00D93CCA" w:rsidP="009501E8">
      <w:pPr>
        <w:tabs>
          <w:tab w:val="left" w:pos="284"/>
        </w:tabs>
        <w:spacing w:line="360" w:lineRule="auto"/>
        <w:jc w:val="both"/>
        <w:rPr>
          <w:rFonts w:cs="Times New Roman"/>
          <w:b/>
          <w:bCs/>
          <w:sz w:val="40"/>
          <w:szCs w:val="40"/>
        </w:rPr>
      </w:pPr>
    </w:p>
    <w:p w14:paraId="44D3D737" w14:textId="77777777" w:rsidR="00842E87" w:rsidRPr="00840976" w:rsidRDefault="00842E87" w:rsidP="009501E8">
      <w:pPr>
        <w:tabs>
          <w:tab w:val="left" w:pos="284"/>
        </w:tabs>
        <w:spacing w:line="360" w:lineRule="auto"/>
        <w:jc w:val="both"/>
        <w:rPr>
          <w:rFonts w:cs="Times New Roman"/>
          <w:b/>
          <w:bCs/>
          <w:sz w:val="40"/>
          <w:szCs w:val="40"/>
        </w:rPr>
      </w:pPr>
    </w:p>
    <w:p w14:paraId="0DF4378B" w14:textId="53E20CAB" w:rsidR="00842E87" w:rsidRPr="00840976" w:rsidRDefault="00156F57" w:rsidP="009501E8">
      <w:pPr>
        <w:jc w:val="center"/>
        <w:rPr>
          <w:rFonts w:cs="Times New Roman"/>
          <w:b/>
          <w:bCs/>
          <w:sz w:val="40"/>
          <w:szCs w:val="40"/>
        </w:rPr>
      </w:pPr>
      <w:r>
        <w:rPr>
          <w:rFonts w:cs="Times New Roman"/>
          <w:b/>
          <w:bCs/>
          <w:sz w:val="40"/>
          <w:szCs w:val="40"/>
        </w:rPr>
        <w:t>MÜŞÂREKE</w:t>
      </w:r>
      <w:r w:rsidR="00287806" w:rsidRPr="00840976">
        <w:rPr>
          <w:rFonts w:cs="Times New Roman"/>
          <w:b/>
          <w:bCs/>
          <w:sz w:val="40"/>
          <w:szCs w:val="40"/>
        </w:rPr>
        <w:t xml:space="preserve"> STANDARDI</w:t>
      </w:r>
    </w:p>
    <w:p w14:paraId="6D038BD0" w14:textId="77777777" w:rsidR="00842E87" w:rsidRPr="00840976" w:rsidRDefault="00842E87" w:rsidP="00DE6D94"/>
    <w:p w14:paraId="3C178CDE" w14:textId="77777777" w:rsidR="00842E87" w:rsidRPr="00840976" w:rsidRDefault="00842E87" w:rsidP="00DE6D94"/>
    <w:p w14:paraId="6E840679" w14:textId="77777777" w:rsidR="00842E87" w:rsidRPr="00840976" w:rsidRDefault="00842E87" w:rsidP="009501E8">
      <w:pPr>
        <w:jc w:val="both"/>
        <w:rPr>
          <w:rFonts w:cs="Times New Roman"/>
        </w:rPr>
      </w:pPr>
    </w:p>
    <w:p w14:paraId="59F94A63" w14:textId="77777777" w:rsidR="00842E87" w:rsidRPr="00840976" w:rsidRDefault="00842E87" w:rsidP="009501E8">
      <w:pPr>
        <w:jc w:val="both"/>
        <w:rPr>
          <w:rFonts w:cs="Times New Roman"/>
        </w:rPr>
      </w:pPr>
    </w:p>
    <w:p w14:paraId="4BA7B0AD" w14:textId="77777777" w:rsidR="00842E87" w:rsidRPr="00840976" w:rsidRDefault="00842E87" w:rsidP="009501E8">
      <w:pPr>
        <w:jc w:val="both"/>
        <w:rPr>
          <w:rFonts w:cs="Times New Roman"/>
        </w:rPr>
      </w:pPr>
    </w:p>
    <w:p w14:paraId="7B31A839" w14:textId="77777777" w:rsidR="00842E87" w:rsidRPr="00840976" w:rsidRDefault="00842E87" w:rsidP="009501E8">
      <w:pPr>
        <w:jc w:val="both"/>
        <w:rPr>
          <w:rFonts w:cs="Times New Roman"/>
        </w:rPr>
      </w:pPr>
    </w:p>
    <w:p w14:paraId="3B0F8892" w14:textId="77777777" w:rsidR="00842E87" w:rsidRPr="00840976" w:rsidRDefault="00842E87" w:rsidP="009501E8">
      <w:pPr>
        <w:jc w:val="both"/>
        <w:rPr>
          <w:rFonts w:cs="Times New Roman"/>
        </w:rPr>
      </w:pPr>
    </w:p>
    <w:p w14:paraId="5DF7183D" w14:textId="77777777" w:rsidR="00842E87" w:rsidRPr="00840976" w:rsidRDefault="00842E87" w:rsidP="009501E8">
      <w:pPr>
        <w:jc w:val="both"/>
        <w:rPr>
          <w:rFonts w:cs="Times New Roman"/>
        </w:rPr>
      </w:pPr>
    </w:p>
    <w:p w14:paraId="6B69B5C6" w14:textId="77777777" w:rsidR="00842E87" w:rsidRPr="00840976" w:rsidRDefault="00842E87" w:rsidP="009501E8">
      <w:pPr>
        <w:jc w:val="both"/>
        <w:rPr>
          <w:rFonts w:cs="Times New Roman"/>
        </w:rPr>
      </w:pPr>
    </w:p>
    <w:p w14:paraId="516F500F" w14:textId="77777777" w:rsidR="00842E87" w:rsidRPr="00840976" w:rsidRDefault="00842E87" w:rsidP="009501E8">
      <w:pPr>
        <w:jc w:val="both"/>
        <w:rPr>
          <w:rFonts w:cs="Times New Roman"/>
        </w:rPr>
      </w:pPr>
    </w:p>
    <w:p w14:paraId="365F3547" w14:textId="77777777" w:rsidR="00842E87" w:rsidRPr="00840976" w:rsidRDefault="00842E87" w:rsidP="00DE6D94"/>
    <w:p w14:paraId="7D8BB8DC" w14:textId="77777777" w:rsidR="00842E87" w:rsidRPr="00840976" w:rsidRDefault="00842E87" w:rsidP="009501E8">
      <w:pPr>
        <w:jc w:val="both"/>
        <w:rPr>
          <w:rFonts w:cs="Times New Roman"/>
        </w:rPr>
      </w:pPr>
    </w:p>
    <w:p w14:paraId="743FC87B" w14:textId="77777777" w:rsidR="00842E87" w:rsidRPr="00840976" w:rsidRDefault="00842E87" w:rsidP="009501E8">
      <w:pPr>
        <w:jc w:val="both"/>
        <w:rPr>
          <w:rFonts w:cs="Times New Roman"/>
        </w:rPr>
      </w:pPr>
    </w:p>
    <w:p w14:paraId="4DFAFA90" w14:textId="77777777" w:rsidR="00842E87" w:rsidRPr="00840976" w:rsidRDefault="00842E87" w:rsidP="00DE6D94"/>
    <w:p w14:paraId="306B4519" w14:textId="77777777" w:rsidR="00842E87" w:rsidRPr="00840976" w:rsidRDefault="00842E87" w:rsidP="00DE6D94"/>
    <w:p w14:paraId="1E46A14F" w14:textId="77777777" w:rsidR="00842E87" w:rsidRPr="00840976" w:rsidRDefault="00842E87" w:rsidP="00DE6D94"/>
    <w:p w14:paraId="16A70348" w14:textId="77777777" w:rsidR="00842E87" w:rsidRPr="00840976" w:rsidRDefault="00842E87" w:rsidP="00DE6D94"/>
    <w:p w14:paraId="2035A1BF" w14:textId="77777777" w:rsidR="00842E87" w:rsidRPr="00840976" w:rsidRDefault="00842E87" w:rsidP="00DE6D94"/>
    <w:p w14:paraId="448AE5E4" w14:textId="77777777" w:rsidR="00842E87" w:rsidRDefault="00842E87" w:rsidP="00DE6D94"/>
    <w:p w14:paraId="2B867592" w14:textId="77777777" w:rsidR="00661B22" w:rsidRDefault="00661B22" w:rsidP="00DE6D94"/>
    <w:p w14:paraId="597502C1" w14:textId="77777777" w:rsidR="00661B22" w:rsidRDefault="00661B22" w:rsidP="00DE6D94"/>
    <w:p w14:paraId="4F567C04" w14:textId="77777777" w:rsidR="00661B22" w:rsidRDefault="00661B22" w:rsidP="00DE6D94"/>
    <w:p w14:paraId="14F94382" w14:textId="77777777" w:rsidR="00661B22" w:rsidRDefault="00661B22" w:rsidP="00DE6D94"/>
    <w:p w14:paraId="3B48B47D" w14:textId="77777777" w:rsidR="00661B22" w:rsidRDefault="00661B22" w:rsidP="00DE6D94"/>
    <w:p w14:paraId="1FA23CF0" w14:textId="77777777" w:rsidR="00842E87" w:rsidRPr="00840976" w:rsidRDefault="00842E87" w:rsidP="00DE6D94"/>
    <w:p w14:paraId="2E088640" w14:textId="77777777" w:rsidR="00842E87" w:rsidRPr="00840976" w:rsidRDefault="00842E87" w:rsidP="009501E8">
      <w:pPr>
        <w:jc w:val="both"/>
        <w:rPr>
          <w:rFonts w:cs="Times New Roman"/>
        </w:rPr>
      </w:pPr>
    </w:p>
    <w:p w14:paraId="1DFDD932" w14:textId="77777777" w:rsidR="00DE6D94" w:rsidRPr="00840976" w:rsidRDefault="00DE6D94" w:rsidP="00DE6D94">
      <w:bookmarkStart w:id="1" w:name="_Toc2954647"/>
      <w:bookmarkStart w:id="2" w:name="_Toc16861878"/>
    </w:p>
    <w:p w14:paraId="4EFA7F98" w14:textId="77777777" w:rsidR="00DE6D94" w:rsidRPr="00840976" w:rsidRDefault="00DE6D94" w:rsidP="00DE6D94"/>
    <w:p w14:paraId="2E21439C" w14:textId="2E821208" w:rsidR="00842E87" w:rsidRPr="00840976" w:rsidRDefault="00842E87" w:rsidP="00DE6D94">
      <w:pPr>
        <w:rPr>
          <w:b/>
          <w:bCs/>
        </w:rPr>
      </w:pPr>
      <w:r w:rsidRPr="00840976">
        <w:rPr>
          <w:b/>
          <w:bCs/>
        </w:rPr>
        <w:t>Standardın Muhtevası</w:t>
      </w:r>
      <w:bookmarkEnd w:id="1"/>
      <w:bookmarkEnd w:id="2"/>
    </w:p>
    <w:p w14:paraId="2330A1C0" w14:textId="3799AC34" w:rsidR="009E3E9C" w:rsidRPr="00840976" w:rsidRDefault="00842E87" w:rsidP="00A95531">
      <w:pPr>
        <w:tabs>
          <w:tab w:val="left" w:pos="284"/>
        </w:tabs>
        <w:spacing w:line="360" w:lineRule="auto"/>
        <w:jc w:val="both"/>
        <w:rPr>
          <w:rFonts w:asciiTheme="majorBidi" w:hAnsiTheme="majorBidi" w:cstheme="majorBidi"/>
          <w:szCs w:val="24"/>
        </w:rPr>
      </w:pPr>
      <w:r w:rsidRPr="00840976">
        <w:rPr>
          <w:rFonts w:cs="Times New Roman"/>
          <w:szCs w:val="24"/>
        </w:rPr>
        <w:t xml:space="preserve">Bu standart; </w:t>
      </w:r>
      <w:r w:rsidR="009C2C2D" w:rsidRPr="00840976">
        <w:rPr>
          <w:rFonts w:cs="Times New Roman"/>
          <w:szCs w:val="24"/>
        </w:rPr>
        <w:t>katılım banka</w:t>
      </w:r>
      <w:r w:rsidR="00CD678D" w:rsidRPr="00840976">
        <w:rPr>
          <w:rFonts w:cs="Times New Roman"/>
          <w:szCs w:val="24"/>
        </w:rPr>
        <w:t>cılığında uygulanmakta olan</w:t>
      </w:r>
      <w:r w:rsidR="009C2C2D" w:rsidRPr="00840976">
        <w:rPr>
          <w:rFonts w:cs="Times New Roman"/>
          <w:szCs w:val="24"/>
        </w:rPr>
        <w:t xml:space="preserve"> </w:t>
      </w:r>
      <w:proofErr w:type="spellStart"/>
      <w:r w:rsidR="00156F57">
        <w:rPr>
          <w:rFonts w:cs="Times New Roman"/>
          <w:szCs w:val="24"/>
        </w:rPr>
        <w:t>müşâreke</w:t>
      </w:r>
      <w:proofErr w:type="spellEnd"/>
      <w:r w:rsidR="009C2C2D" w:rsidRPr="00840976">
        <w:rPr>
          <w:rFonts w:cs="Times New Roman"/>
          <w:szCs w:val="24"/>
        </w:rPr>
        <w:t xml:space="preserve"> (sermaye ortaklığı</w:t>
      </w:r>
      <w:r w:rsidR="008C6344" w:rsidRPr="00840976">
        <w:rPr>
          <w:rFonts w:cs="Times New Roman"/>
          <w:szCs w:val="24"/>
        </w:rPr>
        <w:t>/kâr-zarar ortaklığı</w:t>
      </w:r>
      <w:r w:rsidR="009C2C2D" w:rsidRPr="00840976">
        <w:rPr>
          <w:rFonts w:cs="Times New Roman"/>
          <w:szCs w:val="24"/>
        </w:rPr>
        <w:t>) sözleşmesine dayalı olarak yap</w:t>
      </w:r>
      <w:r w:rsidR="00CD678D" w:rsidRPr="00840976">
        <w:rPr>
          <w:rFonts w:cs="Times New Roman"/>
          <w:szCs w:val="24"/>
        </w:rPr>
        <w:t>ılan</w:t>
      </w:r>
      <w:r w:rsidR="009C2C2D" w:rsidRPr="00840976">
        <w:rPr>
          <w:rFonts w:cs="Times New Roman"/>
          <w:szCs w:val="24"/>
        </w:rPr>
        <w:t xml:space="preserve"> işlemler</w:t>
      </w:r>
      <w:r w:rsidR="00F62CFA" w:rsidRPr="00840976">
        <w:rPr>
          <w:rFonts w:cs="Times New Roman"/>
          <w:szCs w:val="24"/>
        </w:rPr>
        <w:t xml:space="preserve">de </w:t>
      </w:r>
      <w:r w:rsidR="00AD170F" w:rsidRPr="00840976">
        <w:rPr>
          <w:rFonts w:asciiTheme="majorBidi" w:hAnsiTheme="majorBidi" w:cstheme="majorBidi"/>
          <w:szCs w:val="24"/>
        </w:rPr>
        <w:t>gözetilmesi gereken fıkhî hükümleri ve bu hükümlerin gerekçelerini ihtiva etmektedir.</w:t>
      </w:r>
      <w:r w:rsidR="009A7E45" w:rsidRPr="00840976">
        <w:rPr>
          <w:rFonts w:asciiTheme="majorBidi" w:hAnsiTheme="majorBidi" w:cstheme="majorBidi"/>
          <w:szCs w:val="24"/>
        </w:rPr>
        <w:t xml:space="preserve"> </w:t>
      </w:r>
      <w:r w:rsidR="00E468E2" w:rsidRPr="00840976">
        <w:rPr>
          <w:rFonts w:asciiTheme="majorBidi" w:hAnsiTheme="majorBidi" w:cstheme="majorBidi"/>
          <w:szCs w:val="24"/>
        </w:rPr>
        <w:t>Birtakım özel hükümlere sahip olan a</w:t>
      </w:r>
      <w:r w:rsidR="009E3E9C" w:rsidRPr="00840976">
        <w:rPr>
          <w:rFonts w:asciiTheme="majorBidi" w:hAnsiTheme="majorBidi" w:cstheme="majorBidi"/>
          <w:szCs w:val="24"/>
        </w:rPr>
        <w:t xml:space="preserve">zalan </w:t>
      </w:r>
      <w:proofErr w:type="spellStart"/>
      <w:r w:rsidR="00156F57">
        <w:rPr>
          <w:rFonts w:asciiTheme="majorBidi" w:hAnsiTheme="majorBidi" w:cstheme="majorBidi"/>
          <w:szCs w:val="24"/>
        </w:rPr>
        <w:t>müşâreke</w:t>
      </w:r>
      <w:proofErr w:type="spellEnd"/>
      <w:r w:rsidR="00412DDE">
        <w:rPr>
          <w:rFonts w:asciiTheme="majorBidi" w:hAnsiTheme="majorBidi" w:cstheme="majorBidi"/>
          <w:szCs w:val="24"/>
        </w:rPr>
        <w:t xml:space="preserve"> bu standartta ele alınmamıştır.</w:t>
      </w:r>
    </w:p>
    <w:p w14:paraId="0A8389AD" w14:textId="7A6D9B58" w:rsidR="00AD170F" w:rsidRPr="00840976" w:rsidRDefault="00AD170F" w:rsidP="00A95531">
      <w:pPr>
        <w:tabs>
          <w:tab w:val="left" w:pos="284"/>
        </w:tabs>
        <w:spacing w:line="360" w:lineRule="auto"/>
        <w:jc w:val="both"/>
        <w:rPr>
          <w:rFonts w:asciiTheme="majorBidi" w:hAnsiTheme="majorBidi" w:cstheme="majorBidi"/>
          <w:szCs w:val="24"/>
        </w:rPr>
      </w:pPr>
    </w:p>
    <w:p w14:paraId="74EFC3A4" w14:textId="5424D4F2" w:rsidR="007B6093" w:rsidRPr="00840976" w:rsidRDefault="007B6093" w:rsidP="00A95531">
      <w:pPr>
        <w:tabs>
          <w:tab w:val="left" w:pos="284"/>
        </w:tabs>
        <w:spacing w:line="360" w:lineRule="auto"/>
        <w:jc w:val="both"/>
        <w:rPr>
          <w:rFonts w:cs="Times New Roman"/>
          <w:szCs w:val="24"/>
        </w:rPr>
      </w:pPr>
    </w:p>
    <w:p w14:paraId="56F904ED" w14:textId="38EBD71B" w:rsidR="00842E87" w:rsidRDefault="00842E87" w:rsidP="009501E8">
      <w:pPr>
        <w:tabs>
          <w:tab w:val="left" w:pos="284"/>
        </w:tabs>
        <w:spacing w:line="360" w:lineRule="auto"/>
        <w:jc w:val="both"/>
        <w:rPr>
          <w:rFonts w:cs="Times New Roman"/>
          <w:strike/>
          <w:szCs w:val="24"/>
        </w:rPr>
      </w:pPr>
    </w:p>
    <w:p w14:paraId="2E4DB307" w14:textId="77777777" w:rsidR="003F430F" w:rsidRDefault="003F430F" w:rsidP="009501E8">
      <w:pPr>
        <w:tabs>
          <w:tab w:val="left" w:pos="284"/>
        </w:tabs>
        <w:spacing w:line="360" w:lineRule="auto"/>
        <w:jc w:val="both"/>
        <w:rPr>
          <w:rFonts w:cs="Times New Roman"/>
          <w:strike/>
          <w:szCs w:val="24"/>
        </w:rPr>
      </w:pPr>
    </w:p>
    <w:p w14:paraId="78E3EE9E" w14:textId="77777777" w:rsidR="003F430F" w:rsidRPr="00840976" w:rsidRDefault="003F430F" w:rsidP="009501E8">
      <w:pPr>
        <w:tabs>
          <w:tab w:val="left" w:pos="284"/>
        </w:tabs>
        <w:spacing w:line="360" w:lineRule="auto"/>
        <w:jc w:val="both"/>
        <w:rPr>
          <w:rFonts w:cs="Times New Roman"/>
          <w:strike/>
          <w:szCs w:val="24"/>
        </w:rPr>
      </w:pPr>
    </w:p>
    <w:p w14:paraId="4AA7FC27" w14:textId="298139BD" w:rsidR="002A6D9E" w:rsidRPr="00840976" w:rsidRDefault="002A6D9E" w:rsidP="009501E8">
      <w:pPr>
        <w:tabs>
          <w:tab w:val="left" w:pos="284"/>
        </w:tabs>
        <w:spacing w:line="360" w:lineRule="auto"/>
        <w:jc w:val="both"/>
        <w:rPr>
          <w:rFonts w:cs="Times New Roman"/>
          <w:strike/>
          <w:szCs w:val="24"/>
        </w:rPr>
      </w:pPr>
    </w:p>
    <w:p w14:paraId="5D90CBC5" w14:textId="16E622AE" w:rsidR="002A6D9E" w:rsidRPr="00840976" w:rsidRDefault="002A6D9E" w:rsidP="009501E8">
      <w:pPr>
        <w:tabs>
          <w:tab w:val="left" w:pos="284"/>
        </w:tabs>
        <w:spacing w:line="360" w:lineRule="auto"/>
        <w:jc w:val="both"/>
        <w:rPr>
          <w:rFonts w:cs="Times New Roman"/>
          <w:strike/>
          <w:szCs w:val="24"/>
        </w:rPr>
      </w:pPr>
    </w:p>
    <w:p w14:paraId="3810F75F" w14:textId="77777777" w:rsidR="00661B22" w:rsidRDefault="00661B22" w:rsidP="00D93CCA">
      <w:pPr>
        <w:rPr>
          <w:rFonts w:cs="Times New Roman"/>
          <w:szCs w:val="24"/>
        </w:rPr>
      </w:pPr>
    </w:p>
    <w:p w14:paraId="0891D5AD" w14:textId="77777777" w:rsidR="00661B22" w:rsidRDefault="00661B22" w:rsidP="00D93CCA">
      <w:pPr>
        <w:rPr>
          <w:rFonts w:cs="Times New Roman"/>
          <w:szCs w:val="24"/>
        </w:rPr>
      </w:pPr>
    </w:p>
    <w:p w14:paraId="1FB0D476" w14:textId="77777777" w:rsidR="00622D91" w:rsidRDefault="00622D91" w:rsidP="00D93CCA">
      <w:pPr>
        <w:rPr>
          <w:rFonts w:cs="Times New Roman"/>
          <w:szCs w:val="24"/>
        </w:rPr>
      </w:pPr>
    </w:p>
    <w:p w14:paraId="12F2E52B" w14:textId="77777777" w:rsidR="00622D91" w:rsidRDefault="00622D91" w:rsidP="00D93CCA">
      <w:pPr>
        <w:rPr>
          <w:rFonts w:cs="Times New Roman"/>
          <w:szCs w:val="24"/>
        </w:rPr>
      </w:pPr>
    </w:p>
    <w:p w14:paraId="55E85359" w14:textId="77777777" w:rsidR="00622D91" w:rsidRDefault="00622D91" w:rsidP="00D93CCA">
      <w:pPr>
        <w:rPr>
          <w:rFonts w:cs="Times New Roman"/>
          <w:szCs w:val="24"/>
        </w:rPr>
      </w:pPr>
    </w:p>
    <w:p w14:paraId="2486A0C5" w14:textId="69C20864" w:rsidR="00622D91" w:rsidRPr="00622D91" w:rsidRDefault="00622D91" w:rsidP="00622D91">
      <w:pPr>
        <w:jc w:val="center"/>
        <w:rPr>
          <w:rFonts w:cs="Times New Roman"/>
          <w:b/>
          <w:bCs/>
          <w:szCs w:val="24"/>
        </w:rPr>
      </w:pPr>
      <w:r w:rsidRPr="00622D91">
        <w:rPr>
          <w:rFonts w:cs="Times New Roman"/>
          <w:b/>
          <w:bCs/>
          <w:szCs w:val="24"/>
        </w:rPr>
        <w:lastRenderedPageBreak/>
        <w:t>HÜKÜMLER</w:t>
      </w:r>
    </w:p>
    <w:p w14:paraId="2CDB32E2" w14:textId="246A4F0C" w:rsidR="0094036C" w:rsidRPr="00840976" w:rsidRDefault="00156F57" w:rsidP="00DF3397">
      <w:pPr>
        <w:pStyle w:val="Balk1"/>
        <w:numPr>
          <w:ilvl w:val="0"/>
          <w:numId w:val="26"/>
        </w:numPr>
        <w:spacing w:after="240"/>
      </w:pPr>
      <w:bookmarkStart w:id="3" w:name="_Toc170257338"/>
      <w:proofErr w:type="spellStart"/>
      <w:r>
        <w:t>Müşâreke</w:t>
      </w:r>
      <w:proofErr w:type="spellEnd"/>
      <w:r w:rsidR="00C93DC7" w:rsidRPr="00840976">
        <w:t xml:space="preserve"> Sözleşmesi</w:t>
      </w:r>
      <w:bookmarkEnd w:id="3"/>
    </w:p>
    <w:p w14:paraId="186FB320" w14:textId="576D2854" w:rsidR="00C93DC7" w:rsidRPr="00840976" w:rsidRDefault="00C93DC7" w:rsidP="00D85D48">
      <w:pPr>
        <w:pStyle w:val="Balk2"/>
        <w:ind w:left="284"/>
        <w:rPr>
          <w:i/>
          <w:iCs/>
        </w:rPr>
      </w:pPr>
      <w:bookmarkStart w:id="4" w:name="_Toc170257339"/>
      <w:r w:rsidRPr="00840976">
        <w:t>Tanımı</w:t>
      </w:r>
      <w:bookmarkEnd w:id="4"/>
    </w:p>
    <w:p w14:paraId="793489AF" w14:textId="1D3DF496" w:rsidR="00110365" w:rsidRDefault="00352690" w:rsidP="00283BD8">
      <w:pPr>
        <w:ind w:left="283"/>
        <w:jc w:val="both"/>
        <w:rPr>
          <w:rFonts w:cs="Times New Roman"/>
          <w:szCs w:val="24"/>
        </w:rPr>
      </w:pPr>
      <w:r w:rsidRPr="00840976">
        <w:rPr>
          <w:rFonts w:cs="Times New Roman"/>
          <w:b/>
          <w:bCs/>
          <w:szCs w:val="24"/>
        </w:rPr>
        <w:t xml:space="preserve">Madde </w:t>
      </w:r>
      <w:r w:rsidR="00347781" w:rsidRPr="00840976">
        <w:rPr>
          <w:rFonts w:cs="Times New Roman"/>
          <w:b/>
          <w:bCs/>
          <w:szCs w:val="24"/>
        </w:rPr>
        <w:t>1</w:t>
      </w:r>
      <w:r w:rsidR="00347781">
        <w:rPr>
          <w:rFonts w:cs="Times New Roman"/>
          <w:b/>
          <w:bCs/>
          <w:szCs w:val="24"/>
        </w:rPr>
        <w:t>-</w:t>
      </w:r>
      <w:r w:rsidR="00283BD8" w:rsidRPr="00840976">
        <w:rPr>
          <w:rFonts w:cs="Times New Roman"/>
          <w:b/>
          <w:bCs/>
          <w:szCs w:val="24"/>
        </w:rPr>
        <w:t xml:space="preserve"> </w:t>
      </w:r>
      <w:proofErr w:type="spellStart"/>
      <w:r w:rsidR="00156F57">
        <w:rPr>
          <w:rFonts w:cs="Times New Roman"/>
          <w:szCs w:val="24"/>
        </w:rPr>
        <w:t>Müşâreke</w:t>
      </w:r>
      <w:proofErr w:type="spellEnd"/>
      <w:r w:rsidR="00BF67E0" w:rsidRPr="00840976">
        <w:rPr>
          <w:rFonts w:cs="Times New Roman"/>
          <w:szCs w:val="24"/>
        </w:rPr>
        <w:t>,</w:t>
      </w:r>
      <w:r w:rsidR="00C01C18" w:rsidRPr="00840976">
        <w:rPr>
          <w:rFonts w:cs="Times New Roman"/>
          <w:szCs w:val="24"/>
        </w:rPr>
        <w:t xml:space="preserve"> iki veya daha fazla </w:t>
      </w:r>
      <w:r w:rsidR="005568CA" w:rsidRPr="00840976">
        <w:rPr>
          <w:rFonts w:cs="Times New Roman"/>
          <w:szCs w:val="24"/>
        </w:rPr>
        <w:t xml:space="preserve">kişi </w:t>
      </w:r>
      <w:r w:rsidR="00C01C18" w:rsidRPr="00840976">
        <w:rPr>
          <w:rFonts w:cs="Times New Roman"/>
          <w:szCs w:val="24"/>
        </w:rPr>
        <w:t>arasında kurulan</w:t>
      </w:r>
      <w:r w:rsidR="000A764E" w:rsidRPr="00840976">
        <w:rPr>
          <w:rFonts w:cs="Times New Roman"/>
          <w:szCs w:val="24"/>
        </w:rPr>
        <w:t xml:space="preserve">, </w:t>
      </w:r>
      <w:r w:rsidR="00C01C18" w:rsidRPr="00840976">
        <w:rPr>
          <w:rFonts w:cs="Times New Roman"/>
          <w:szCs w:val="24"/>
        </w:rPr>
        <w:t xml:space="preserve">tarafların hepsinin </w:t>
      </w:r>
      <w:r w:rsidR="00410AB8" w:rsidRPr="00840976">
        <w:rPr>
          <w:rFonts w:cs="Times New Roman"/>
          <w:szCs w:val="24"/>
        </w:rPr>
        <w:t>sermaye katkısında bul</w:t>
      </w:r>
      <w:r w:rsidR="00BD0031" w:rsidRPr="00840976">
        <w:rPr>
          <w:rFonts w:cs="Times New Roman"/>
          <w:szCs w:val="24"/>
        </w:rPr>
        <w:t>un</w:t>
      </w:r>
      <w:r w:rsidR="00410AB8" w:rsidRPr="00840976">
        <w:rPr>
          <w:rFonts w:cs="Times New Roman"/>
          <w:szCs w:val="24"/>
        </w:rPr>
        <w:t>dukları ve ortaya çıka</w:t>
      </w:r>
      <w:r w:rsidR="003407E2" w:rsidRPr="00840976">
        <w:rPr>
          <w:rFonts w:cs="Times New Roman"/>
          <w:szCs w:val="24"/>
        </w:rPr>
        <w:t>cak olan</w:t>
      </w:r>
      <w:r w:rsidR="000A764E" w:rsidRPr="00840976">
        <w:rPr>
          <w:rFonts w:cs="Times New Roman"/>
          <w:szCs w:val="24"/>
        </w:rPr>
        <w:t xml:space="preserve"> </w:t>
      </w:r>
      <w:r w:rsidR="00C01C18" w:rsidRPr="00840976">
        <w:rPr>
          <w:rFonts w:cs="Times New Roman"/>
          <w:szCs w:val="24"/>
        </w:rPr>
        <w:t xml:space="preserve">kârı </w:t>
      </w:r>
      <w:r w:rsidR="00410AB8" w:rsidRPr="00840976">
        <w:rPr>
          <w:rFonts w:cs="Times New Roman"/>
          <w:szCs w:val="24"/>
        </w:rPr>
        <w:t>paylaşıp</w:t>
      </w:r>
      <w:r w:rsidR="00C01C18" w:rsidRPr="00840976">
        <w:rPr>
          <w:rFonts w:cs="Times New Roman"/>
          <w:szCs w:val="24"/>
        </w:rPr>
        <w:t xml:space="preserve"> </w:t>
      </w:r>
      <w:r w:rsidR="000A764E" w:rsidRPr="00840976">
        <w:rPr>
          <w:rFonts w:cs="Times New Roman"/>
          <w:szCs w:val="24"/>
        </w:rPr>
        <w:t xml:space="preserve">zararı üstlendikleri </w:t>
      </w:r>
      <w:r w:rsidR="00500F80" w:rsidRPr="00840976">
        <w:rPr>
          <w:rFonts w:cs="Times New Roman"/>
          <w:szCs w:val="24"/>
        </w:rPr>
        <w:t xml:space="preserve">bir </w:t>
      </w:r>
      <w:r w:rsidR="000A764E" w:rsidRPr="00840976">
        <w:rPr>
          <w:rFonts w:cs="Times New Roman"/>
          <w:szCs w:val="24"/>
        </w:rPr>
        <w:t>ortaklık</w:t>
      </w:r>
      <w:r w:rsidR="00500F80" w:rsidRPr="00840976">
        <w:rPr>
          <w:rFonts w:cs="Times New Roman"/>
          <w:szCs w:val="24"/>
        </w:rPr>
        <w:t xml:space="preserve"> türüdür</w:t>
      </w:r>
      <w:r w:rsidR="000A764E" w:rsidRPr="00840976">
        <w:rPr>
          <w:rFonts w:cs="Times New Roman"/>
          <w:szCs w:val="24"/>
        </w:rPr>
        <w:t>.</w:t>
      </w:r>
    </w:p>
    <w:p w14:paraId="196B8BC9" w14:textId="75AF8F0A" w:rsidR="00E94861" w:rsidRDefault="00156F57" w:rsidP="00DF3397">
      <w:pPr>
        <w:pStyle w:val="Balk1"/>
        <w:numPr>
          <w:ilvl w:val="0"/>
          <w:numId w:val="26"/>
        </w:numPr>
        <w:spacing w:after="240"/>
      </w:pPr>
      <w:bookmarkStart w:id="5" w:name="_Toc170257340"/>
      <w:proofErr w:type="spellStart"/>
      <w:r>
        <w:t>Müşâreke</w:t>
      </w:r>
      <w:proofErr w:type="spellEnd"/>
      <w:r w:rsidR="00D95B7D" w:rsidRPr="00840976">
        <w:t xml:space="preserve"> </w:t>
      </w:r>
      <w:r w:rsidR="001B374D" w:rsidRPr="00840976">
        <w:t>ile</w:t>
      </w:r>
      <w:r w:rsidR="00D95B7D" w:rsidRPr="00840976">
        <w:t xml:space="preserve"> İlgili Genel Hükümler</w:t>
      </w:r>
      <w:bookmarkEnd w:id="5"/>
    </w:p>
    <w:p w14:paraId="406FABBE" w14:textId="3650DD2E" w:rsidR="00C93DC7" w:rsidRPr="00840976" w:rsidRDefault="00C93DC7" w:rsidP="00D85D48">
      <w:pPr>
        <w:pStyle w:val="Balk2"/>
        <w:ind w:left="284"/>
        <w:rPr>
          <w:b w:val="0"/>
          <w:bCs/>
          <w:i/>
          <w:iCs/>
        </w:rPr>
      </w:pPr>
      <w:bookmarkStart w:id="6" w:name="_Toc170257341"/>
      <w:r w:rsidRPr="00840976">
        <w:t>Sözleşmenin</w:t>
      </w:r>
      <w:r w:rsidRPr="00840976">
        <w:rPr>
          <w:bCs/>
          <w:i/>
          <w:iCs/>
        </w:rPr>
        <w:t xml:space="preserve"> </w:t>
      </w:r>
      <w:r w:rsidRPr="00840976">
        <w:rPr>
          <w:bCs/>
        </w:rPr>
        <w:t>Kurulması</w:t>
      </w:r>
      <w:bookmarkEnd w:id="6"/>
    </w:p>
    <w:p w14:paraId="13C0276C" w14:textId="0DCF7529" w:rsidR="00E94861" w:rsidRPr="00611D82" w:rsidRDefault="00E94861" w:rsidP="00611D82">
      <w:pPr>
        <w:pStyle w:val="ListeParagraf"/>
        <w:ind w:left="284"/>
        <w:contextualSpacing w:val="0"/>
        <w:jc w:val="both"/>
      </w:pPr>
      <w:r w:rsidRPr="00840976">
        <w:rPr>
          <w:rFonts w:cs="Times New Roman"/>
          <w:b/>
          <w:bCs/>
          <w:szCs w:val="24"/>
        </w:rPr>
        <w:t xml:space="preserve">Madde 2- </w:t>
      </w:r>
      <w:proofErr w:type="spellStart"/>
      <w:r>
        <w:rPr>
          <w:rFonts w:cs="Times New Roman"/>
        </w:rPr>
        <w:t>Müşâreke</w:t>
      </w:r>
      <w:proofErr w:type="spellEnd"/>
      <w:r w:rsidRPr="00840976">
        <w:rPr>
          <w:rFonts w:cs="Times New Roman"/>
        </w:rPr>
        <w:t xml:space="preserve"> sözleşmesi, tarafların irade beyanlarıyla kurulur.</w:t>
      </w:r>
      <w:r w:rsidRPr="00E94861">
        <w:rPr>
          <w:rFonts w:cs="Times New Roman"/>
        </w:rPr>
        <w:t xml:space="preserve"> </w:t>
      </w:r>
      <w:r w:rsidR="00611D82">
        <w:rPr>
          <w:rFonts w:cs="Times New Roman"/>
        </w:rPr>
        <w:t>S</w:t>
      </w:r>
      <w:r>
        <w:rPr>
          <w:rFonts w:cs="Times New Roman"/>
        </w:rPr>
        <w:t>özleşme</w:t>
      </w:r>
      <w:r w:rsidR="00611D82">
        <w:rPr>
          <w:rFonts w:cs="Times New Roman"/>
        </w:rPr>
        <w:t>nin</w:t>
      </w:r>
      <w:r>
        <w:rPr>
          <w:rFonts w:cs="Times New Roman"/>
        </w:rPr>
        <w:t xml:space="preserve"> konusu ve amacı katılım finansı ilke ve standartlarına aykırı olamaz</w:t>
      </w:r>
      <w:r w:rsidR="00611D82">
        <w:rPr>
          <w:rFonts w:cs="Times New Roman"/>
        </w:rPr>
        <w:t>.</w:t>
      </w:r>
      <w:r w:rsidR="00BC0DA5">
        <w:rPr>
          <w:rFonts w:cs="Times New Roman"/>
        </w:rPr>
        <w:t xml:space="preserve"> </w:t>
      </w:r>
    </w:p>
    <w:p w14:paraId="1ABB42D0" w14:textId="5A19CA1A" w:rsidR="00C93DC7" w:rsidRPr="00840976" w:rsidRDefault="00C93DC7" w:rsidP="00AB2823">
      <w:pPr>
        <w:pStyle w:val="Balk2"/>
        <w:ind w:left="284"/>
        <w:rPr>
          <w:bCs/>
        </w:rPr>
      </w:pPr>
      <w:bookmarkStart w:id="7" w:name="_Toc170257342"/>
      <w:r w:rsidRPr="00840976">
        <w:rPr>
          <w:bCs/>
        </w:rPr>
        <w:t>Ortaklar Arasındaki İlişki</w:t>
      </w:r>
      <w:bookmarkEnd w:id="7"/>
      <w:r w:rsidR="009A6664">
        <w:rPr>
          <w:bCs/>
        </w:rPr>
        <w:t>nin Niteliği</w:t>
      </w:r>
    </w:p>
    <w:p w14:paraId="484080AF" w14:textId="07225DF6" w:rsidR="00FC594F" w:rsidRPr="00840976" w:rsidRDefault="004226CF" w:rsidP="004226CF">
      <w:pPr>
        <w:pStyle w:val="ListeParagraf"/>
        <w:ind w:left="284"/>
        <w:contextualSpacing w:val="0"/>
        <w:jc w:val="both"/>
        <w:rPr>
          <w:rFonts w:cs="Times New Roman"/>
        </w:rPr>
      </w:pPr>
      <w:r w:rsidRPr="00840976">
        <w:rPr>
          <w:rFonts w:cs="Times New Roman"/>
          <w:b/>
          <w:bCs/>
          <w:szCs w:val="24"/>
        </w:rPr>
        <w:t xml:space="preserve">Madde </w:t>
      </w:r>
      <w:r w:rsidR="00347781" w:rsidRPr="00840976">
        <w:rPr>
          <w:rFonts w:cs="Times New Roman"/>
          <w:b/>
          <w:bCs/>
          <w:szCs w:val="24"/>
        </w:rPr>
        <w:t>3-</w:t>
      </w:r>
      <w:r w:rsidRPr="00840976">
        <w:rPr>
          <w:rFonts w:cs="Times New Roman"/>
          <w:b/>
          <w:bCs/>
          <w:szCs w:val="24"/>
        </w:rPr>
        <w:t xml:space="preserve"> </w:t>
      </w:r>
      <w:proofErr w:type="spellStart"/>
      <w:r w:rsidR="00156F57">
        <w:rPr>
          <w:rFonts w:cs="Times New Roman"/>
          <w:szCs w:val="24"/>
        </w:rPr>
        <w:t>Müşâreke</w:t>
      </w:r>
      <w:proofErr w:type="spellEnd"/>
      <w:r w:rsidR="00FC594F" w:rsidRPr="00840976">
        <w:rPr>
          <w:rFonts w:cs="Times New Roman"/>
          <w:szCs w:val="24"/>
        </w:rPr>
        <w:t xml:space="preserve"> sözleşmesinde ortaklar </w:t>
      </w:r>
      <w:r w:rsidR="00FC594F" w:rsidRPr="00840976">
        <w:rPr>
          <w:rFonts w:cs="Times New Roman"/>
        </w:rPr>
        <w:t xml:space="preserve">arasındaki ilişki vekalet </w:t>
      </w:r>
      <w:r w:rsidR="001D2A46" w:rsidRPr="00840976">
        <w:rPr>
          <w:rFonts w:cs="Times New Roman"/>
        </w:rPr>
        <w:t>hükümlerine tab</w:t>
      </w:r>
      <w:r w:rsidR="00FC594F" w:rsidRPr="00840976">
        <w:rPr>
          <w:rFonts w:cs="Times New Roman"/>
        </w:rPr>
        <w:t>i</w:t>
      </w:r>
      <w:r w:rsidR="00B420F2" w:rsidRPr="00840976">
        <w:rPr>
          <w:rFonts w:cs="Times New Roman"/>
        </w:rPr>
        <w:t xml:space="preserve">dir. </w:t>
      </w:r>
    </w:p>
    <w:p w14:paraId="7991E3B9" w14:textId="20E720E9" w:rsidR="00C93DC7" w:rsidRPr="00840976" w:rsidRDefault="00C93DC7" w:rsidP="00F13782">
      <w:pPr>
        <w:pStyle w:val="Balk2"/>
        <w:ind w:left="284"/>
      </w:pPr>
      <w:bookmarkStart w:id="8" w:name="_Toc170257343"/>
      <w:r w:rsidRPr="00840976">
        <w:t>Sözleşmenin Tarafları</w:t>
      </w:r>
      <w:bookmarkEnd w:id="8"/>
      <w:r w:rsidRPr="00840976">
        <w:t xml:space="preserve"> </w:t>
      </w:r>
    </w:p>
    <w:p w14:paraId="1CD015E5" w14:textId="3429BA05" w:rsidR="00FF60AF" w:rsidRDefault="001D5171" w:rsidP="001D5171">
      <w:pPr>
        <w:pStyle w:val="ListeParagraf"/>
        <w:ind w:left="284"/>
        <w:contextualSpacing w:val="0"/>
        <w:jc w:val="both"/>
      </w:pPr>
      <w:r w:rsidRPr="00840976">
        <w:rPr>
          <w:rFonts w:cs="Times New Roman"/>
          <w:b/>
          <w:bCs/>
          <w:szCs w:val="24"/>
        </w:rPr>
        <w:t xml:space="preserve">Madde </w:t>
      </w:r>
      <w:r w:rsidR="00347781" w:rsidRPr="00840976">
        <w:rPr>
          <w:rFonts w:cs="Times New Roman"/>
          <w:b/>
          <w:bCs/>
          <w:szCs w:val="24"/>
        </w:rPr>
        <w:t>4-</w:t>
      </w:r>
      <w:r w:rsidRPr="00840976">
        <w:rPr>
          <w:rFonts w:cs="Times New Roman"/>
          <w:b/>
          <w:bCs/>
          <w:szCs w:val="24"/>
        </w:rPr>
        <w:t xml:space="preserve"> </w:t>
      </w:r>
      <w:proofErr w:type="spellStart"/>
      <w:r w:rsidR="00156F57">
        <w:t>Müşâreke</w:t>
      </w:r>
      <w:r w:rsidR="00403581" w:rsidRPr="00840976">
        <w:t>nin</w:t>
      </w:r>
      <w:proofErr w:type="spellEnd"/>
      <w:r w:rsidR="00403581" w:rsidRPr="00840976">
        <w:t xml:space="preserve"> tarafları gerçek kişiler olabileceği gibi tüzel kişiler de olabilir.</w:t>
      </w:r>
    </w:p>
    <w:p w14:paraId="3AAAAF07" w14:textId="3BC5735A" w:rsidR="00C93DC7" w:rsidRPr="00840976" w:rsidRDefault="00C93DC7" w:rsidP="00F13782">
      <w:pPr>
        <w:pStyle w:val="Balk2"/>
        <w:ind w:left="284"/>
      </w:pPr>
      <w:bookmarkStart w:id="9" w:name="_Toc170257344"/>
      <w:r w:rsidRPr="00840976">
        <w:t>Sözleşmenin Süresi</w:t>
      </w:r>
      <w:bookmarkEnd w:id="9"/>
    </w:p>
    <w:p w14:paraId="285CE25F" w14:textId="7B71AE41" w:rsidR="00293750" w:rsidRPr="00840976" w:rsidRDefault="001D5171" w:rsidP="001D5171">
      <w:pPr>
        <w:pStyle w:val="ListeParagraf"/>
        <w:ind w:left="284"/>
        <w:contextualSpacing w:val="0"/>
        <w:jc w:val="both"/>
        <w:rPr>
          <w:rFonts w:cs="Times New Roman"/>
          <w:szCs w:val="24"/>
        </w:rPr>
      </w:pPr>
      <w:r w:rsidRPr="00840976">
        <w:rPr>
          <w:rFonts w:cs="Times New Roman"/>
          <w:b/>
          <w:bCs/>
          <w:szCs w:val="24"/>
        </w:rPr>
        <w:t xml:space="preserve">Madde </w:t>
      </w:r>
      <w:r w:rsidR="00347781" w:rsidRPr="00840976">
        <w:rPr>
          <w:rFonts w:cs="Times New Roman"/>
          <w:b/>
          <w:bCs/>
          <w:szCs w:val="24"/>
        </w:rPr>
        <w:t>5-</w:t>
      </w:r>
      <w:r w:rsidRPr="00840976">
        <w:rPr>
          <w:rFonts w:cs="Times New Roman"/>
          <w:b/>
          <w:bCs/>
          <w:szCs w:val="24"/>
        </w:rPr>
        <w:t xml:space="preserve"> </w:t>
      </w:r>
      <w:proofErr w:type="spellStart"/>
      <w:r w:rsidR="00156F57">
        <w:rPr>
          <w:rFonts w:cs="Times New Roman"/>
          <w:szCs w:val="24"/>
        </w:rPr>
        <w:t>Müşâreke</w:t>
      </w:r>
      <w:proofErr w:type="spellEnd"/>
      <w:r w:rsidR="00446BDF" w:rsidRPr="00840976">
        <w:rPr>
          <w:rFonts w:cs="Times New Roman"/>
          <w:szCs w:val="24"/>
        </w:rPr>
        <w:t xml:space="preserve"> sözleşmesi süreli</w:t>
      </w:r>
      <w:r w:rsidR="00013A55" w:rsidRPr="00840976">
        <w:rPr>
          <w:rFonts w:cs="Times New Roman"/>
          <w:szCs w:val="24"/>
        </w:rPr>
        <w:t xml:space="preserve"> olarak kurulabileceği gibi belirli bir süre </w:t>
      </w:r>
      <w:r w:rsidR="0097202B" w:rsidRPr="00840976">
        <w:rPr>
          <w:rFonts w:cs="Times New Roman"/>
          <w:szCs w:val="24"/>
        </w:rPr>
        <w:t>zikredilmeden</w:t>
      </w:r>
      <w:r w:rsidR="00013A55" w:rsidRPr="00840976">
        <w:rPr>
          <w:rFonts w:cs="Times New Roman"/>
          <w:szCs w:val="24"/>
        </w:rPr>
        <w:t xml:space="preserve"> de</w:t>
      </w:r>
      <w:r w:rsidR="0097202B" w:rsidRPr="00840976">
        <w:rPr>
          <w:rFonts w:cs="Times New Roman"/>
          <w:szCs w:val="24"/>
        </w:rPr>
        <w:t xml:space="preserve"> kurulabilir</w:t>
      </w:r>
      <w:r w:rsidR="00293750" w:rsidRPr="00840976">
        <w:rPr>
          <w:rFonts w:cs="Times New Roman"/>
          <w:szCs w:val="24"/>
        </w:rPr>
        <w:t xml:space="preserve">. </w:t>
      </w:r>
    </w:p>
    <w:p w14:paraId="705B6963" w14:textId="398EF122" w:rsidR="00C93DC7" w:rsidRPr="00840976" w:rsidRDefault="00C93DC7" w:rsidP="00F13782">
      <w:pPr>
        <w:pStyle w:val="Balk2"/>
        <w:ind w:left="284"/>
      </w:pPr>
      <w:bookmarkStart w:id="10" w:name="_Toc170257345"/>
      <w:r w:rsidRPr="00840976">
        <w:t>Sözleşme Şartlarının Bağlayıcılığı</w:t>
      </w:r>
      <w:bookmarkEnd w:id="10"/>
    </w:p>
    <w:p w14:paraId="3A095FB6" w14:textId="7CB33C00" w:rsidR="009F0F1F" w:rsidRDefault="00075067" w:rsidP="00075067">
      <w:pPr>
        <w:pStyle w:val="ListeParagraf"/>
        <w:ind w:left="284"/>
        <w:contextualSpacing w:val="0"/>
        <w:jc w:val="both"/>
        <w:rPr>
          <w:rFonts w:cs="Times New Roman"/>
        </w:rPr>
      </w:pPr>
      <w:bookmarkStart w:id="11" w:name="_Hlk186122240"/>
      <w:r w:rsidRPr="00840976">
        <w:rPr>
          <w:rFonts w:cs="Times New Roman"/>
          <w:b/>
          <w:bCs/>
          <w:szCs w:val="24"/>
        </w:rPr>
        <w:t xml:space="preserve">Madde </w:t>
      </w:r>
      <w:r w:rsidR="00347781" w:rsidRPr="00840976">
        <w:rPr>
          <w:rFonts w:cs="Times New Roman"/>
          <w:b/>
          <w:bCs/>
          <w:szCs w:val="24"/>
        </w:rPr>
        <w:t>6-</w:t>
      </w:r>
      <w:r w:rsidRPr="00840976">
        <w:rPr>
          <w:rFonts w:cs="Times New Roman"/>
          <w:b/>
          <w:bCs/>
          <w:szCs w:val="24"/>
        </w:rPr>
        <w:t xml:space="preserve"> </w:t>
      </w:r>
      <w:bookmarkEnd w:id="11"/>
      <w:proofErr w:type="spellStart"/>
      <w:r w:rsidR="00156F57">
        <w:rPr>
          <w:rFonts w:cs="Times New Roman"/>
        </w:rPr>
        <w:t>Müşâreke</w:t>
      </w:r>
      <w:proofErr w:type="spellEnd"/>
      <w:r w:rsidR="00D95B7D" w:rsidRPr="00840976">
        <w:rPr>
          <w:rFonts w:cs="Times New Roman"/>
        </w:rPr>
        <w:t xml:space="preserve"> sözleşmesinin yapısına uygun olmak kaydıyla k</w:t>
      </w:r>
      <w:r w:rsidR="006A449F" w:rsidRPr="00840976">
        <w:rPr>
          <w:rFonts w:cs="Times New Roman"/>
        </w:rPr>
        <w:t xml:space="preserve">arşılıklı olarak mutabakata varılan ve </w:t>
      </w:r>
      <w:r w:rsidR="001B72F1" w:rsidRPr="00840976">
        <w:rPr>
          <w:rFonts w:cs="Times New Roman"/>
        </w:rPr>
        <w:t>katılım finansı ilke ve standartlarına</w:t>
      </w:r>
      <w:r w:rsidR="006A449F" w:rsidRPr="00840976">
        <w:rPr>
          <w:rFonts w:cs="Times New Roman"/>
        </w:rPr>
        <w:t xml:space="preserve"> aykırı olmayan h</w:t>
      </w:r>
      <w:r w:rsidR="00317F96" w:rsidRPr="00840976">
        <w:rPr>
          <w:rFonts w:cs="Times New Roman"/>
        </w:rPr>
        <w:t xml:space="preserve">er türlü </w:t>
      </w:r>
      <w:r w:rsidR="006A449F" w:rsidRPr="00840976">
        <w:rPr>
          <w:rFonts w:cs="Times New Roman"/>
        </w:rPr>
        <w:t>şart</w:t>
      </w:r>
      <w:r w:rsidR="00333B5B" w:rsidRPr="00840976">
        <w:rPr>
          <w:rFonts w:cs="Times New Roman"/>
        </w:rPr>
        <w:t>,</w:t>
      </w:r>
      <w:r w:rsidR="006A449F" w:rsidRPr="00840976">
        <w:rPr>
          <w:rFonts w:cs="Times New Roman"/>
        </w:rPr>
        <w:t xml:space="preserve"> </w:t>
      </w:r>
      <w:r w:rsidR="00B158CE" w:rsidRPr="00840976">
        <w:rPr>
          <w:rFonts w:cs="Times New Roman"/>
        </w:rPr>
        <w:t xml:space="preserve">taraflar </w:t>
      </w:r>
      <w:r w:rsidR="006A449F" w:rsidRPr="00840976">
        <w:rPr>
          <w:rFonts w:cs="Times New Roman"/>
        </w:rPr>
        <w:t>için bağlayıcı</w:t>
      </w:r>
      <w:r w:rsidR="00D95B7D" w:rsidRPr="00840976">
        <w:rPr>
          <w:rFonts w:cs="Times New Roman"/>
        </w:rPr>
        <w:t xml:space="preserve">dır. </w:t>
      </w:r>
    </w:p>
    <w:p w14:paraId="6EA20C46" w14:textId="5D6CBA56" w:rsidR="00490F06" w:rsidRPr="00DF3397" w:rsidRDefault="00490F06" w:rsidP="00DF3397">
      <w:pPr>
        <w:pStyle w:val="Balk2"/>
        <w:ind w:left="284"/>
      </w:pPr>
      <w:r w:rsidRPr="00DF3397">
        <w:t>Ortaklığın Kararları</w:t>
      </w:r>
    </w:p>
    <w:p w14:paraId="4882D02B" w14:textId="2903237A" w:rsidR="00A7576F" w:rsidRDefault="00490F06" w:rsidP="007036B8">
      <w:pPr>
        <w:pStyle w:val="Balk2"/>
        <w:ind w:left="284"/>
        <w:jc w:val="both"/>
        <w:rPr>
          <w:b w:val="0"/>
          <w:bCs/>
        </w:rPr>
      </w:pPr>
      <w:r w:rsidRPr="00DF3397">
        <w:t>Madde 7</w:t>
      </w:r>
      <w:r w:rsidRPr="00DF3397">
        <w:rPr>
          <w:b w:val="0"/>
          <w:bCs/>
        </w:rPr>
        <w:t>-</w:t>
      </w:r>
      <w:r w:rsidR="0024305C">
        <w:rPr>
          <w:b w:val="0"/>
          <w:bCs/>
        </w:rPr>
        <w:t xml:space="preserve"> </w:t>
      </w:r>
      <w:r w:rsidR="007036B8" w:rsidRPr="007036B8">
        <w:rPr>
          <w:b w:val="0"/>
          <w:bCs/>
        </w:rPr>
        <w:t>Kararların tüm ortakların oybirliği ile alınması esastır. Bununla birlikte sözleşmenin kuruluşunda ya da daha sonra, kararların oy çokluğu ile alınabileceği kararlaştırılabilir. Çoğunluk, ortak sayısına göre belirlenir.</w:t>
      </w:r>
      <w:r w:rsidR="00A7576F" w:rsidRPr="00A7576F">
        <w:rPr>
          <w:b w:val="0"/>
          <w:bCs/>
        </w:rPr>
        <w:t xml:space="preserve"> </w:t>
      </w:r>
    </w:p>
    <w:p w14:paraId="6CCD5F6D" w14:textId="5A52B567" w:rsidR="00446BDF" w:rsidRPr="00840976" w:rsidRDefault="00156F57" w:rsidP="00DF3397">
      <w:pPr>
        <w:pStyle w:val="Balk1"/>
        <w:numPr>
          <w:ilvl w:val="0"/>
          <w:numId w:val="26"/>
        </w:numPr>
        <w:spacing w:after="240"/>
      </w:pPr>
      <w:bookmarkStart w:id="12" w:name="_Toc170257346"/>
      <w:bookmarkStart w:id="13" w:name="_Hlk167809025"/>
      <w:proofErr w:type="spellStart"/>
      <w:r>
        <w:t>Müşâreke</w:t>
      </w:r>
      <w:proofErr w:type="spellEnd"/>
      <w:r w:rsidR="00754258" w:rsidRPr="00840976">
        <w:t xml:space="preserve"> Sermayesi ile İlgili</w:t>
      </w:r>
      <w:r w:rsidR="00DE68CC" w:rsidRPr="00840976">
        <w:t xml:space="preserve"> </w:t>
      </w:r>
      <w:r w:rsidR="002A6D9E" w:rsidRPr="00840976">
        <w:t>Hükümler</w:t>
      </w:r>
      <w:bookmarkEnd w:id="12"/>
    </w:p>
    <w:p w14:paraId="5C697DA2" w14:textId="76A47F80" w:rsidR="00C93DC7" w:rsidRPr="00840976" w:rsidRDefault="00C93DC7" w:rsidP="00F13782">
      <w:pPr>
        <w:pStyle w:val="Balk2"/>
        <w:ind w:left="284"/>
      </w:pPr>
      <w:bookmarkStart w:id="14" w:name="_Toc170257347"/>
      <w:r w:rsidRPr="00840976">
        <w:t>Sermayenin Para Olarak Belirlenmesi</w:t>
      </w:r>
      <w:bookmarkEnd w:id="14"/>
    </w:p>
    <w:bookmarkEnd w:id="13"/>
    <w:p w14:paraId="23F3C975" w14:textId="7C340E72" w:rsidR="00D112EC" w:rsidRPr="00840976" w:rsidRDefault="00075067" w:rsidP="00075067">
      <w:pPr>
        <w:pStyle w:val="ListeParagraf"/>
        <w:ind w:left="284"/>
        <w:contextualSpacing w:val="0"/>
        <w:jc w:val="both"/>
      </w:pPr>
      <w:r w:rsidRPr="00840976">
        <w:rPr>
          <w:rFonts w:cs="Times New Roman"/>
          <w:b/>
          <w:bCs/>
          <w:szCs w:val="24"/>
        </w:rPr>
        <w:t xml:space="preserve">Madde </w:t>
      </w:r>
      <w:r w:rsidR="00A7576F">
        <w:rPr>
          <w:rFonts w:cs="Times New Roman"/>
          <w:b/>
          <w:bCs/>
          <w:szCs w:val="24"/>
        </w:rPr>
        <w:t>8</w:t>
      </w:r>
      <w:r w:rsidR="00347781" w:rsidRPr="00840976">
        <w:rPr>
          <w:rFonts w:cs="Times New Roman"/>
          <w:b/>
          <w:bCs/>
          <w:szCs w:val="24"/>
        </w:rPr>
        <w:t>-</w:t>
      </w:r>
      <w:r w:rsidRPr="00840976">
        <w:rPr>
          <w:rFonts w:cs="Times New Roman"/>
          <w:b/>
          <w:bCs/>
          <w:szCs w:val="24"/>
        </w:rPr>
        <w:t xml:space="preserve"> </w:t>
      </w:r>
      <w:proofErr w:type="spellStart"/>
      <w:r w:rsidR="00156F57">
        <w:t>Müşâreke</w:t>
      </w:r>
      <w:proofErr w:type="spellEnd"/>
      <w:r w:rsidR="00401B63" w:rsidRPr="00840976">
        <w:t xml:space="preserve"> ortaklığında sermayelerin cins </w:t>
      </w:r>
      <w:r w:rsidR="003B5BA2" w:rsidRPr="00840976">
        <w:t xml:space="preserve">ve miktar </w:t>
      </w:r>
      <w:r w:rsidR="00401B63" w:rsidRPr="00840976">
        <w:t xml:space="preserve">yönünden belirlenmiş para olması esastır. Para dışındaki bir </w:t>
      </w:r>
      <w:r w:rsidR="00AB45C5">
        <w:t xml:space="preserve">varlık veya </w:t>
      </w:r>
      <w:r w:rsidR="00401B63" w:rsidRPr="00840976">
        <w:t xml:space="preserve">değerin piyasa fiyatı üzerinden paraya çevrilmesinden ya da </w:t>
      </w:r>
      <w:r w:rsidR="00AB45C5">
        <w:t>bir</w:t>
      </w:r>
      <w:r w:rsidR="00401B63" w:rsidRPr="00840976">
        <w:t xml:space="preserve"> alacağın tahsil edilmesinden sonra sermaye olması da taraflarca kararlaştırılabilir.</w:t>
      </w:r>
    </w:p>
    <w:p w14:paraId="3334DEA0" w14:textId="741B1788" w:rsidR="00C93DC7" w:rsidRPr="00840976" w:rsidRDefault="00C93DC7" w:rsidP="00F13782">
      <w:pPr>
        <w:pStyle w:val="Balk2"/>
        <w:ind w:left="284"/>
      </w:pPr>
      <w:bookmarkStart w:id="15" w:name="_Toc170257348"/>
      <w:r w:rsidRPr="00840976">
        <w:t xml:space="preserve">Sermayenin Farklı Para Birimlerinden </w:t>
      </w:r>
      <w:r w:rsidR="00C44DD3">
        <w:t>O</w:t>
      </w:r>
      <w:r w:rsidRPr="00840976">
        <w:t>luşması</w:t>
      </w:r>
      <w:bookmarkEnd w:id="15"/>
    </w:p>
    <w:p w14:paraId="28CAFA34" w14:textId="5076AD45" w:rsidR="00401B63" w:rsidRPr="00840976" w:rsidRDefault="00754053" w:rsidP="00754053">
      <w:pPr>
        <w:pStyle w:val="ListeParagraf"/>
        <w:ind w:left="284"/>
        <w:contextualSpacing w:val="0"/>
        <w:jc w:val="both"/>
        <w:rPr>
          <w:rFonts w:ascii="Arial" w:hAnsi="Arial" w:cs="Arial"/>
          <w:sz w:val="20"/>
          <w:szCs w:val="20"/>
        </w:rPr>
      </w:pPr>
      <w:r w:rsidRPr="00840976">
        <w:rPr>
          <w:rFonts w:cs="Times New Roman"/>
          <w:b/>
          <w:bCs/>
          <w:szCs w:val="24"/>
        </w:rPr>
        <w:t xml:space="preserve">Madde </w:t>
      </w:r>
      <w:r w:rsidR="00A7576F">
        <w:rPr>
          <w:rFonts w:cs="Times New Roman"/>
          <w:b/>
          <w:bCs/>
          <w:szCs w:val="24"/>
        </w:rPr>
        <w:t>9</w:t>
      </w:r>
      <w:r w:rsidR="00347781" w:rsidRPr="00840976">
        <w:rPr>
          <w:rFonts w:cs="Times New Roman"/>
          <w:b/>
          <w:bCs/>
          <w:szCs w:val="24"/>
        </w:rPr>
        <w:t>-</w:t>
      </w:r>
      <w:r w:rsidRPr="00840976">
        <w:rPr>
          <w:rFonts w:cs="Times New Roman"/>
          <w:b/>
          <w:bCs/>
          <w:szCs w:val="24"/>
        </w:rPr>
        <w:t xml:space="preserve"> </w:t>
      </w:r>
      <w:r w:rsidR="00624C0C" w:rsidRPr="00840976">
        <w:t>Sermaye</w:t>
      </w:r>
      <w:r w:rsidR="00624C0C">
        <w:t>nin</w:t>
      </w:r>
      <w:r w:rsidR="00624C0C" w:rsidRPr="00840976">
        <w:t xml:space="preserve"> </w:t>
      </w:r>
      <w:r w:rsidR="00401B63" w:rsidRPr="00840976">
        <w:t>farklı para birimleri</w:t>
      </w:r>
      <w:r w:rsidR="00C44DD3">
        <w:t>n</w:t>
      </w:r>
      <w:r w:rsidR="00401B63" w:rsidRPr="00840976">
        <w:t xml:space="preserve">den meydana gelmesi durumunda, </w:t>
      </w:r>
      <w:r w:rsidR="00705FFE" w:rsidRPr="00840976">
        <w:t>taraflarca</w:t>
      </w:r>
      <w:r w:rsidR="00D112EC" w:rsidRPr="00840976">
        <w:t xml:space="preserve"> bu para birimlerinden biri seçilerek</w:t>
      </w:r>
      <w:r w:rsidR="00401B63" w:rsidRPr="00840976">
        <w:t xml:space="preserve"> </w:t>
      </w:r>
      <w:r w:rsidR="005A5F06" w:rsidRPr="00840976">
        <w:t xml:space="preserve">kuruluş sermayesi ve </w:t>
      </w:r>
      <w:r w:rsidR="00705FFE" w:rsidRPr="00840976">
        <w:t>tarafların</w:t>
      </w:r>
      <w:r w:rsidR="005A5F06" w:rsidRPr="00840976">
        <w:t xml:space="preserve"> sermayedeki katıl</w:t>
      </w:r>
      <w:r w:rsidR="00E53FA6" w:rsidRPr="00840976">
        <w:t>ım</w:t>
      </w:r>
      <w:r w:rsidR="005A5F06" w:rsidRPr="00840976">
        <w:t xml:space="preserve"> payları</w:t>
      </w:r>
      <w:r w:rsidR="00624C0C">
        <w:t>,</w:t>
      </w:r>
      <w:r w:rsidR="005A5F06" w:rsidRPr="00840976">
        <w:t xml:space="preserve"> </w:t>
      </w:r>
      <w:r w:rsidR="00D112EC" w:rsidRPr="00840976">
        <w:t xml:space="preserve">bu paraların </w:t>
      </w:r>
      <w:r w:rsidR="00624C0C" w:rsidRPr="00624C0C">
        <w:t xml:space="preserve">ortaklık hesabına konulduğu gündeki </w:t>
      </w:r>
      <w:r w:rsidR="00D112EC" w:rsidRPr="00840976">
        <w:t>kurları dikkate alınarak belirlenir.</w:t>
      </w:r>
    </w:p>
    <w:p w14:paraId="4F9ED7BE" w14:textId="47E57333" w:rsidR="00C93DC7" w:rsidRPr="00840976" w:rsidRDefault="00C93DC7" w:rsidP="00F13782">
      <w:pPr>
        <w:pStyle w:val="Balk2"/>
        <w:ind w:left="284"/>
      </w:pPr>
      <w:bookmarkStart w:id="16" w:name="_Toc170257349"/>
      <w:r w:rsidRPr="00840976">
        <w:lastRenderedPageBreak/>
        <w:t>Katılım Payı Oranları</w:t>
      </w:r>
      <w:bookmarkEnd w:id="16"/>
    </w:p>
    <w:p w14:paraId="53B1DBB5" w14:textId="73E1FFA3" w:rsidR="00FD33C0" w:rsidRPr="00840976" w:rsidRDefault="00754053" w:rsidP="00754053">
      <w:pPr>
        <w:pStyle w:val="ListeParagraf"/>
        <w:ind w:left="284"/>
        <w:contextualSpacing w:val="0"/>
        <w:jc w:val="both"/>
      </w:pPr>
      <w:r w:rsidRPr="00840976">
        <w:rPr>
          <w:rFonts w:cs="Times New Roman"/>
          <w:b/>
          <w:bCs/>
          <w:szCs w:val="24"/>
        </w:rPr>
        <w:t xml:space="preserve">Madde </w:t>
      </w:r>
      <w:r w:rsidR="00A7576F">
        <w:rPr>
          <w:rFonts w:cs="Times New Roman"/>
          <w:b/>
          <w:bCs/>
          <w:szCs w:val="24"/>
        </w:rPr>
        <w:t>10</w:t>
      </w:r>
      <w:r w:rsidR="00347781" w:rsidRPr="00840976">
        <w:rPr>
          <w:rFonts w:cs="Times New Roman"/>
          <w:b/>
          <w:bCs/>
          <w:szCs w:val="24"/>
        </w:rPr>
        <w:t>-</w:t>
      </w:r>
      <w:r w:rsidRPr="00840976">
        <w:rPr>
          <w:rFonts w:cs="Times New Roman"/>
          <w:b/>
          <w:bCs/>
          <w:szCs w:val="24"/>
        </w:rPr>
        <w:t xml:space="preserve"> </w:t>
      </w:r>
      <w:r w:rsidR="000B0A7A" w:rsidRPr="00840976">
        <w:t>Ortakların sermaye</w:t>
      </w:r>
      <w:r w:rsidR="00347781">
        <w:t>deki katılım</w:t>
      </w:r>
      <w:r w:rsidR="000B0A7A" w:rsidRPr="00840976">
        <w:t xml:space="preserve"> payların</w:t>
      </w:r>
      <w:r w:rsidR="00A970DD" w:rsidRPr="00840976">
        <w:t>ın</w:t>
      </w:r>
      <w:r w:rsidR="000B0A7A" w:rsidRPr="00840976">
        <w:t xml:space="preserve"> eşit olması gerekli değildir.</w:t>
      </w:r>
    </w:p>
    <w:p w14:paraId="2FD2B24E" w14:textId="51D945E7" w:rsidR="00C93DC7" w:rsidRPr="00840976" w:rsidRDefault="00C93DC7" w:rsidP="00F13782">
      <w:pPr>
        <w:pStyle w:val="Balk2"/>
        <w:ind w:left="284"/>
      </w:pPr>
      <w:bookmarkStart w:id="17" w:name="_Toc170257350"/>
      <w:r w:rsidRPr="00840976">
        <w:t>Katılım Payının Ödenmesi</w:t>
      </w:r>
      <w:bookmarkEnd w:id="17"/>
      <w:r w:rsidR="007F21CF" w:rsidRPr="00840976">
        <w:t xml:space="preserve"> </w:t>
      </w:r>
    </w:p>
    <w:p w14:paraId="7F4E1330" w14:textId="47FB5DB7" w:rsidR="00152996" w:rsidRPr="00840976" w:rsidRDefault="00754053" w:rsidP="001F1667">
      <w:pPr>
        <w:pStyle w:val="ListeParagraf"/>
        <w:ind w:left="284"/>
        <w:contextualSpacing w:val="0"/>
        <w:jc w:val="both"/>
      </w:pPr>
      <w:r w:rsidRPr="00840976">
        <w:rPr>
          <w:rFonts w:cs="Times New Roman"/>
          <w:b/>
          <w:bCs/>
          <w:szCs w:val="24"/>
        </w:rPr>
        <w:t xml:space="preserve">Madde </w:t>
      </w:r>
      <w:r w:rsidR="00347781" w:rsidRPr="00840976">
        <w:rPr>
          <w:rFonts w:cs="Times New Roman"/>
          <w:b/>
          <w:bCs/>
          <w:szCs w:val="24"/>
        </w:rPr>
        <w:t>1</w:t>
      </w:r>
      <w:r w:rsidR="00A7576F">
        <w:rPr>
          <w:rFonts w:cs="Times New Roman"/>
          <w:b/>
          <w:bCs/>
          <w:szCs w:val="24"/>
        </w:rPr>
        <w:t>1</w:t>
      </w:r>
      <w:r w:rsidR="00347781" w:rsidRPr="00840976">
        <w:rPr>
          <w:rFonts w:cs="Times New Roman"/>
          <w:b/>
          <w:bCs/>
          <w:szCs w:val="24"/>
        </w:rPr>
        <w:t>-</w:t>
      </w:r>
      <w:r w:rsidRPr="00840976">
        <w:rPr>
          <w:rFonts w:cs="Times New Roman"/>
          <w:b/>
          <w:bCs/>
          <w:szCs w:val="24"/>
        </w:rPr>
        <w:t xml:space="preserve"> </w:t>
      </w:r>
      <w:r w:rsidR="00E443CF" w:rsidRPr="00840976">
        <w:t>Ortaklar</w:t>
      </w:r>
      <w:r w:rsidR="001F1667">
        <w:t>,</w:t>
      </w:r>
      <w:r w:rsidR="00E443CF" w:rsidRPr="00840976">
        <w:t xml:space="preserve"> </w:t>
      </w:r>
      <w:r w:rsidR="001F1667">
        <w:t xml:space="preserve">kararlaştırılan </w:t>
      </w:r>
      <w:r w:rsidR="00590250">
        <w:t>katılım pay</w:t>
      </w:r>
      <w:r w:rsidR="001F1667">
        <w:t>lar</w:t>
      </w:r>
      <w:r w:rsidR="00590250">
        <w:t xml:space="preserve">ını </w:t>
      </w:r>
      <w:r w:rsidR="00E443CF" w:rsidRPr="00840976">
        <w:t>sözleşme şartları doğrultusunda</w:t>
      </w:r>
      <w:r w:rsidR="001F1667">
        <w:t xml:space="preserve"> şirket faaliyete başlamadan önce </w:t>
      </w:r>
      <w:r w:rsidR="00E443CF" w:rsidRPr="00840976">
        <w:t>öde</w:t>
      </w:r>
      <w:r w:rsidR="00A15086">
        <w:t>rler.</w:t>
      </w:r>
    </w:p>
    <w:p w14:paraId="2BF64B4D" w14:textId="7AF19AC8" w:rsidR="00C93DC7" w:rsidRPr="00840976" w:rsidRDefault="00C93DC7" w:rsidP="00F13782">
      <w:pPr>
        <w:pStyle w:val="Balk2"/>
        <w:ind w:left="284"/>
      </w:pPr>
      <w:bookmarkStart w:id="18" w:name="_Toc170257351"/>
      <w:r w:rsidRPr="00840976">
        <w:t xml:space="preserve">Katılım </w:t>
      </w:r>
      <w:r w:rsidR="00932D25">
        <w:t>Payı Oranlarının Yeniden Düzenlenmesi</w:t>
      </w:r>
      <w:bookmarkEnd w:id="18"/>
    </w:p>
    <w:p w14:paraId="0F644755" w14:textId="12FAD3BF" w:rsidR="00A83CD4" w:rsidRPr="00DF3397" w:rsidRDefault="00754053" w:rsidP="00A83CD4">
      <w:pPr>
        <w:pStyle w:val="ListeParagraf"/>
        <w:ind w:left="284"/>
        <w:contextualSpacing w:val="0"/>
        <w:jc w:val="both"/>
        <w:rPr>
          <w:rFonts w:asciiTheme="majorBidi" w:hAnsiTheme="majorBidi" w:cstheme="majorBidi"/>
          <w:szCs w:val="24"/>
        </w:rPr>
      </w:pPr>
      <w:r w:rsidRPr="00840976">
        <w:rPr>
          <w:rFonts w:cs="Times New Roman"/>
          <w:b/>
          <w:bCs/>
          <w:szCs w:val="24"/>
        </w:rPr>
        <w:t xml:space="preserve">Madde </w:t>
      </w:r>
      <w:r w:rsidR="00347781" w:rsidRPr="00840976">
        <w:rPr>
          <w:rFonts w:cs="Times New Roman"/>
          <w:b/>
          <w:bCs/>
          <w:szCs w:val="24"/>
        </w:rPr>
        <w:t>1</w:t>
      </w:r>
      <w:r w:rsidR="00A7576F">
        <w:rPr>
          <w:rFonts w:cs="Times New Roman"/>
          <w:b/>
          <w:bCs/>
          <w:szCs w:val="24"/>
        </w:rPr>
        <w:t>2</w:t>
      </w:r>
      <w:r w:rsidR="00606AA6">
        <w:rPr>
          <w:rFonts w:cs="Times New Roman"/>
          <w:b/>
          <w:bCs/>
          <w:szCs w:val="24"/>
        </w:rPr>
        <w:t xml:space="preserve">- </w:t>
      </w:r>
      <w:r w:rsidR="003F6ABA" w:rsidRPr="004D702A">
        <w:rPr>
          <w:rFonts w:asciiTheme="majorBidi" w:hAnsiTheme="majorBidi" w:cstheme="majorBidi"/>
          <w:szCs w:val="24"/>
        </w:rPr>
        <w:t>Ortakların sermayedeki katılım payı oranları artırılabilir veya azaltılabilir. Bu durumda kâr paylaşım oranları yeniden belirlenebilir. Zarara katılma oranları</w:t>
      </w:r>
      <w:r w:rsidR="003F6ABA">
        <w:rPr>
          <w:rFonts w:asciiTheme="majorBidi" w:hAnsiTheme="majorBidi" w:cstheme="majorBidi"/>
          <w:szCs w:val="24"/>
        </w:rPr>
        <w:t xml:space="preserve"> ise</w:t>
      </w:r>
      <w:r w:rsidR="003F6ABA" w:rsidRPr="004D702A">
        <w:rPr>
          <w:rFonts w:asciiTheme="majorBidi" w:hAnsiTheme="majorBidi" w:cstheme="majorBidi"/>
          <w:szCs w:val="24"/>
        </w:rPr>
        <w:t xml:space="preserve"> sermayedeki katılım payı oranlarından farklı olamaz.</w:t>
      </w:r>
      <w:r w:rsidR="003F6ABA">
        <w:rPr>
          <w:rFonts w:asciiTheme="majorBidi" w:hAnsiTheme="majorBidi" w:cstheme="majorBidi"/>
          <w:szCs w:val="24"/>
        </w:rPr>
        <w:t xml:space="preserve"> </w:t>
      </w:r>
    </w:p>
    <w:p w14:paraId="480E31F9" w14:textId="3B99F392" w:rsidR="00C52E78" w:rsidRPr="00606AA6" w:rsidRDefault="004743FC" w:rsidP="00DF3397">
      <w:pPr>
        <w:pStyle w:val="ListeParagraf"/>
        <w:spacing w:after="0"/>
        <w:ind w:left="284"/>
        <w:contextualSpacing w:val="0"/>
        <w:jc w:val="both"/>
        <w:rPr>
          <w:b/>
          <w:bCs/>
        </w:rPr>
      </w:pPr>
      <w:r w:rsidRPr="00606AA6">
        <w:rPr>
          <w:rFonts w:cs="Times New Roman"/>
          <w:b/>
          <w:bCs/>
          <w:szCs w:val="24"/>
        </w:rPr>
        <w:t>Katılım Payının Devri</w:t>
      </w:r>
    </w:p>
    <w:p w14:paraId="443B61A8" w14:textId="5CFA2594" w:rsidR="004743FC" w:rsidRPr="00C52E78" w:rsidRDefault="004743FC" w:rsidP="00DF3397">
      <w:pPr>
        <w:pStyle w:val="ListeParagraf"/>
        <w:spacing w:after="0"/>
        <w:ind w:left="284"/>
        <w:contextualSpacing w:val="0"/>
        <w:jc w:val="both"/>
      </w:pPr>
      <w:r w:rsidRPr="00C52E78">
        <w:rPr>
          <w:b/>
          <w:bCs/>
        </w:rPr>
        <w:t>Madde</w:t>
      </w:r>
      <w:r w:rsidR="003D32AA" w:rsidRPr="00C52E78">
        <w:rPr>
          <w:b/>
          <w:bCs/>
        </w:rPr>
        <w:t xml:space="preserve"> 13</w:t>
      </w:r>
      <w:r w:rsidR="00606AA6" w:rsidRPr="00C52E78">
        <w:rPr>
          <w:b/>
          <w:bCs/>
        </w:rPr>
        <w:t>-</w:t>
      </w:r>
      <w:r w:rsidRPr="00C52E78">
        <w:rPr>
          <w:b/>
          <w:bCs/>
        </w:rPr>
        <w:t xml:space="preserve"> </w:t>
      </w:r>
      <w:r w:rsidRPr="00C52E78">
        <w:t>Ortaklardan</w:t>
      </w:r>
      <w:r w:rsidR="00802142" w:rsidRPr="00C52E78">
        <w:t xml:space="preserve"> her</w:t>
      </w:r>
      <w:r w:rsidRPr="00C52E78">
        <w:t xml:space="preserve"> biri</w:t>
      </w:r>
      <w:r w:rsidR="00802142" w:rsidRPr="00C52E78">
        <w:t>,</w:t>
      </w:r>
      <w:r w:rsidRPr="00C52E78">
        <w:t xml:space="preserve"> </w:t>
      </w:r>
      <w:r w:rsidR="00802142" w:rsidRPr="00C52E78">
        <w:t xml:space="preserve">sermayedeki </w:t>
      </w:r>
      <w:r w:rsidRPr="00C52E78">
        <w:t xml:space="preserve">katılım payının bir kısmını veya tamamını diğer ortaklara ya da üçüncü kişilere devredebilir. </w:t>
      </w:r>
      <w:r w:rsidR="00802142" w:rsidRPr="00C52E78">
        <w:t>Üçüncü kişilere yapılacak devir</w:t>
      </w:r>
      <w:r w:rsidRPr="00C52E78">
        <w:t xml:space="preserve"> için tüm ortakların rızası aranır.</w:t>
      </w:r>
    </w:p>
    <w:p w14:paraId="65B4165F" w14:textId="3C931594" w:rsidR="00C93DC7" w:rsidRPr="00606AA6" w:rsidRDefault="00C93DC7" w:rsidP="00F13782">
      <w:pPr>
        <w:pStyle w:val="Balk2"/>
        <w:ind w:left="284"/>
      </w:pPr>
      <w:bookmarkStart w:id="19" w:name="_Toc170257352"/>
      <w:r w:rsidRPr="00606AA6">
        <w:t>Sermaye Üzerindeki Risk</w:t>
      </w:r>
      <w:bookmarkEnd w:id="19"/>
    </w:p>
    <w:p w14:paraId="089321CD" w14:textId="5399CD2D" w:rsidR="00551CA3" w:rsidRPr="00840976" w:rsidRDefault="00AF55AC" w:rsidP="00AF55AC">
      <w:pPr>
        <w:pStyle w:val="ListeParagraf"/>
        <w:ind w:left="284"/>
        <w:contextualSpacing w:val="0"/>
        <w:jc w:val="both"/>
      </w:pPr>
      <w:r w:rsidRPr="00606AA6">
        <w:rPr>
          <w:rFonts w:cs="Times New Roman"/>
          <w:b/>
          <w:bCs/>
          <w:szCs w:val="24"/>
        </w:rPr>
        <w:t xml:space="preserve">Madde </w:t>
      </w:r>
      <w:r w:rsidR="00606AA6">
        <w:rPr>
          <w:rFonts w:cs="Times New Roman"/>
          <w:b/>
          <w:bCs/>
          <w:szCs w:val="24"/>
        </w:rPr>
        <w:t>14</w:t>
      </w:r>
      <w:r w:rsidR="003071E7" w:rsidRPr="00606AA6">
        <w:rPr>
          <w:rFonts w:cs="Times New Roman"/>
          <w:b/>
          <w:bCs/>
          <w:szCs w:val="24"/>
        </w:rPr>
        <w:t>-</w:t>
      </w:r>
      <w:r w:rsidRPr="00606AA6">
        <w:rPr>
          <w:rFonts w:cs="Times New Roman"/>
          <w:b/>
          <w:bCs/>
          <w:szCs w:val="24"/>
        </w:rPr>
        <w:t xml:space="preserve"> </w:t>
      </w:r>
      <w:r w:rsidR="00E468E2" w:rsidRPr="00606AA6">
        <w:t xml:space="preserve">Sermaye üzerindeki risk tüm ortaklara aittir. </w:t>
      </w:r>
      <w:r w:rsidR="00846B9E" w:rsidRPr="00606AA6">
        <w:t>O</w:t>
      </w:r>
      <w:r w:rsidR="005822F8" w:rsidRPr="00606AA6">
        <w:t>rtakların</w:t>
      </w:r>
      <w:r w:rsidR="007A52F6" w:rsidRPr="00606AA6">
        <w:t xml:space="preserve"> verdiği sermaye</w:t>
      </w:r>
      <w:r w:rsidR="00846B9E" w:rsidRPr="00606AA6">
        <w:t>,</w:t>
      </w:r>
      <w:r w:rsidR="005822F8" w:rsidRPr="00606AA6">
        <w:t xml:space="preserve"> hiçbir ortak ya da </w:t>
      </w:r>
      <w:r w:rsidR="0098380E" w:rsidRPr="00606AA6">
        <w:t xml:space="preserve">varsa </w:t>
      </w:r>
      <w:r w:rsidR="005822F8" w:rsidRPr="00606AA6">
        <w:t>yönetici</w:t>
      </w:r>
      <w:r w:rsidR="005822F8" w:rsidRPr="00840976">
        <w:t xml:space="preserve"> tarafından</w:t>
      </w:r>
      <w:r w:rsidR="007A52F6" w:rsidRPr="00840976">
        <w:t xml:space="preserve"> zarar açısından</w:t>
      </w:r>
      <w:r w:rsidR="005822F8" w:rsidRPr="00840976">
        <w:t xml:space="preserve"> garanti edilemez. </w:t>
      </w:r>
    </w:p>
    <w:p w14:paraId="568DBB2D" w14:textId="7380E571" w:rsidR="004E4AB8" w:rsidRPr="00840976" w:rsidRDefault="00156F57" w:rsidP="00DF3397">
      <w:pPr>
        <w:pStyle w:val="Balk1"/>
        <w:numPr>
          <w:ilvl w:val="0"/>
          <w:numId w:val="26"/>
        </w:numPr>
        <w:spacing w:after="240"/>
      </w:pPr>
      <w:bookmarkStart w:id="20" w:name="_Toc170257353"/>
      <w:bookmarkStart w:id="21" w:name="_Hlk167809385"/>
      <w:proofErr w:type="spellStart"/>
      <w:r>
        <w:t>Müşâreke</w:t>
      </w:r>
      <w:r w:rsidR="00754258" w:rsidRPr="00840976">
        <w:t>de</w:t>
      </w:r>
      <w:proofErr w:type="spellEnd"/>
      <w:r w:rsidR="00754258" w:rsidRPr="00840976">
        <w:t xml:space="preserve"> </w:t>
      </w:r>
      <w:r w:rsidR="00DE68CC" w:rsidRPr="00840976">
        <w:t>Kâr</w:t>
      </w:r>
      <w:r w:rsidR="00754258" w:rsidRPr="00840976">
        <w:t>-Zarar ile İlgili Hükümler</w:t>
      </w:r>
      <w:bookmarkEnd w:id="20"/>
    </w:p>
    <w:p w14:paraId="42AF7852" w14:textId="1D5829A7" w:rsidR="004E4AB8" w:rsidRPr="00840976" w:rsidRDefault="004E4AB8" w:rsidP="00F13782">
      <w:pPr>
        <w:pStyle w:val="Balk2"/>
        <w:ind w:left="284"/>
      </w:pPr>
      <w:bookmarkStart w:id="22" w:name="_Toc170257354"/>
      <w:r w:rsidRPr="00840976">
        <w:t>K</w:t>
      </w:r>
      <w:r w:rsidR="003071E7">
        <w:t>â</w:t>
      </w:r>
      <w:r w:rsidRPr="00840976">
        <w:t>r Paylaşım Oranlarının Kuruluşta Belirlenmesi</w:t>
      </w:r>
      <w:bookmarkEnd w:id="22"/>
    </w:p>
    <w:p w14:paraId="048FFEFA" w14:textId="7D9AE792" w:rsidR="00251E76" w:rsidRDefault="00AF55AC" w:rsidP="00AF55AC">
      <w:pPr>
        <w:pStyle w:val="ListeParagraf"/>
        <w:ind w:left="284"/>
        <w:contextualSpacing w:val="0"/>
        <w:jc w:val="both"/>
      </w:pPr>
      <w:bookmarkStart w:id="23" w:name="_Hlk180662510"/>
      <w:bookmarkEnd w:id="21"/>
      <w:r w:rsidRPr="00840976">
        <w:rPr>
          <w:rFonts w:cs="Times New Roman"/>
          <w:b/>
          <w:bCs/>
          <w:szCs w:val="24"/>
        </w:rPr>
        <w:t xml:space="preserve">Madde </w:t>
      </w:r>
      <w:r w:rsidR="003071E7" w:rsidRPr="00840976">
        <w:rPr>
          <w:rFonts w:cs="Times New Roman"/>
          <w:b/>
          <w:bCs/>
          <w:szCs w:val="24"/>
        </w:rPr>
        <w:t>1</w:t>
      </w:r>
      <w:r w:rsidR="00606AA6">
        <w:rPr>
          <w:rFonts w:cs="Times New Roman"/>
          <w:b/>
          <w:bCs/>
          <w:szCs w:val="24"/>
        </w:rPr>
        <w:t>5</w:t>
      </w:r>
      <w:r w:rsidR="003071E7" w:rsidRPr="00840976">
        <w:rPr>
          <w:rFonts w:cs="Times New Roman"/>
          <w:b/>
          <w:bCs/>
          <w:szCs w:val="24"/>
        </w:rPr>
        <w:t>-</w:t>
      </w:r>
      <w:r w:rsidRPr="00840976">
        <w:rPr>
          <w:rFonts w:cs="Times New Roman"/>
          <w:b/>
          <w:bCs/>
          <w:szCs w:val="24"/>
        </w:rPr>
        <w:t xml:space="preserve"> </w:t>
      </w:r>
      <w:r w:rsidR="00E3385B" w:rsidRPr="00840976">
        <w:t>K</w:t>
      </w:r>
      <w:r w:rsidR="00156F57">
        <w:t>â</w:t>
      </w:r>
      <w:r w:rsidR="00E3385B" w:rsidRPr="00840976">
        <w:t xml:space="preserve">r paylaşım oranı, </w:t>
      </w:r>
      <w:proofErr w:type="spellStart"/>
      <w:r w:rsidR="00156F57">
        <w:t>müşâreke</w:t>
      </w:r>
      <w:proofErr w:type="spellEnd"/>
      <w:r w:rsidR="00E3385B" w:rsidRPr="00840976">
        <w:t xml:space="preserve"> sözleşmesinin kuruluşu sırasında, tüm ortakların anlaşmasıyla </w:t>
      </w:r>
      <w:r w:rsidR="00CD6E24" w:rsidRPr="00840976">
        <w:t>açıkça</w:t>
      </w:r>
      <w:r w:rsidR="00E3385B" w:rsidRPr="00840976">
        <w:t xml:space="preserve"> belirlenir. Bu paylaşım oranı, ortakların katılım payları ile orantılı olabileceği gibi farklı bir oran da olabilir. </w:t>
      </w:r>
    </w:p>
    <w:p w14:paraId="54EFB638" w14:textId="4B5B6388" w:rsidR="004E4AB8" w:rsidRPr="00840976" w:rsidRDefault="004E4AB8" w:rsidP="00F13782">
      <w:pPr>
        <w:pStyle w:val="Balk2"/>
        <w:ind w:left="284"/>
      </w:pPr>
      <w:bookmarkStart w:id="24" w:name="_Toc170257355"/>
      <w:bookmarkEnd w:id="23"/>
      <w:r w:rsidRPr="00840976">
        <w:t>K</w:t>
      </w:r>
      <w:r w:rsidR="003071E7">
        <w:t>â</w:t>
      </w:r>
      <w:r w:rsidRPr="00840976">
        <w:t>r Paylaşım Oranlarının Yeniden Düzenlenmesi</w:t>
      </w:r>
      <w:bookmarkEnd w:id="24"/>
    </w:p>
    <w:p w14:paraId="74DF2CF5" w14:textId="641B33DC" w:rsidR="004120FB" w:rsidRPr="00840976" w:rsidRDefault="00AF55AC" w:rsidP="00AF55AC">
      <w:pPr>
        <w:pStyle w:val="ListeParagraf"/>
        <w:ind w:left="284"/>
        <w:contextualSpacing w:val="0"/>
        <w:jc w:val="both"/>
        <w:rPr>
          <w:strike/>
          <w:szCs w:val="24"/>
        </w:rPr>
      </w:pPr>
      <w:r w:rsidRPr="00840976">
        <w:rPr>
          <w:rFonts w:cs="Times New Roman"/>
          <w:b/>
          <w:bCs/>
          <w:szCs w:val="24"/>
        </w:rPr>
        <w:t xml:space="preserve">Madde </w:t>
      </w:r>
      <w:r w:rsidR="003071E7" w:rsidRPr="00840976">
        <w:rPr>
          <w:rFonts w:cs="Times New Roman"/>
          <w:b/>
          <w:bCs/>
          <w:szCs w:val="24"/>
        </w:rPr>
        <w:t>1</w:t>
      </w:r>
      <w:r w:rsidR="00606AA6">
        <w:rPr>
          <w:rFonts w:cs="Times New Roman"/>
          <w:b/>
          <w:bCs/>
          <w:szCs w:val="24"/>
        </w:rPr>
        <w:t>6</w:t>
      </w:r>
      <w:r w:rsidR="003071E7" w:rsidRPr="00840976">
        <w:rPr>
          <w:rFonts w:cs="Times New Roman"/>
          <w:b/>
          <w:bCs/>
          <w:szCs w:val="24"/>
        </w:rPr>
        <w:t>-</w:t>
      </w:r>
      <w:r w:rsidRPr="00840976">
        <w:rPr>
          <w:rFonts w:cs="Times New Roman"/>
          <w:b/>
          <w:bCs/>
          <w:szCs w:val="24"/>
        </w:rPr>
        <w:t xml:space="preserve"> </w:t>
      </w:r>
      <w:r w:rsidR="00991945" w:rsidRPr="00840976">
        <w:t xml:space="preserve">Sözleşmede belirlenen kâr paylaşım oranları, tarafların karşılıklı rızasıyla </w:t>
      </w:r>
      <w:r w:rsidR="00991945">
        <w:t xml:space="preserve">ortaklık </w:t>
      </w:r>
      <w:r w:rsidR="00991945" w:rsidRPr="00840976">
        <w:t>sözleşme</w:t>
      </w:r>
      <w:r w:rsidR="00991945">
        <w:t>si devam ettiği</w:t>
      </w:r>
      <w:r w:rsidR="00991945" w:rsidRPr="00840976">
        <w:t xml:space="preserve"> süre</w:t>
      </w:r>
      <w:r w:rsidR="00991945">
        <w:t xml:space="preserve">ce </w:t>
      </w:r>
      <w:r w:rsidR="00991945" w:rsidRPr="00840976">
        <w:t xml:space="preserve">yeniden düzenlenebilir. </w:t>
      </w:r>
    </w:p>
    <w:p w14:paraId="3A3A3E41" w14:textId="215D0CAB" w:rsidR="004E4AB8" w:rsidRPr="00840976" w:rsidRDefault="004E4AB8" w:rsidP="00F13782">
      <w:pPr>
        <w:pStyle w:val="Balk2"/>
        <w:ind w:left="284"/>
      </w:pPr>
      <w:bookmarkStart w:id="25" w:name="_Toc170257356"/>
      <w:r w:rsidRPr="00840976">
        <w:t>Kâr</w:t>
      </w:r>
      <w:r w:rsidR="0050593D">
        <w:t xml:space="preserve"> Garantisi</w:t>
      </w:r>
      <w:r w:rsidRPr="00840976">
        <w:t xml:space="preserve"> Yasağı ve Kâra Katılma</w:t>
      </w:r>
      <w:bookmarkEnd w:id="25"/>
    </w:p>
    <w:p w14:paraId="3D5499DE" w14:textId="73F4944B" w:rsidR="003E6624" w:rsidRPr="00840976" w:rsidRDefault="00AF55AC" w:rsidP="00AF55AC">
      <w:pPr>
        <w:pStyle w:val="ListeParagraf"/>
        <w:ind w:left="284"/>
        <w:contextualSpacing w:val="0"/>
        <w:jc w:val="both"/>
        <w:rPr>
          <w:strike/>
        </w:rPr>
      </w:pPr>
      <w:r w:rsidRPr="00840976">
        <w:rPr>
          <w:rFonts w:cs="Times New Roman"/>
          <w:b/>
          <w:bCs/>
          <w:szCs w:val="24"/>
        </w:rPr>
        <w:t xml:space="preserve">Madde </w:t>
      </w:r>
      <w:r w:rsidR="003071E7" w:rsidRPr="00840976">
        <w:rPr>
          <w:rFonts w:cs="Times New Roman"/>
          <w:b/>
          <w:bCs/>
          <w:szCs w:val="24"/>
        </w:rPr>
        <w:t>1</w:t>
      </w:r>
      <w:r w:rsidR="00606AA6">
        <w:rPr>
          <w:rFonts w:cs="Times New Roman"/>
          <w:b/>
          <w:bCs/>
          <w:szCs w:val="24"/>
        </w:rPr>
        <w:t>7</w:t>
      </w:r>
      <w:r w:rsidR="003071E7">
        <w:rPr>
          <w:rFonts w:cs="Times New Roman"/>
          <w:b/>
          <w:bCs/>
          <w:szCs w:val="24"/>
        </w:rPr>
        <w:t>-</w:t>
      </w:r>
      <w:r w:rsidR="00661B22">
        <w:rPr>
          <w:rFonts w:cs="Times New Roman"/>
          <w:b/>
          <w:bCs/>
          <w:szCs w:val="24"/>
        </w:rPr>
        <w:t xml:space="preserve"> </w:t>
      </w:r>
      <w:r w:rsidR="00B71E62" w:rsidRPr="00840976">
        <w:t>Ortaklardan biri</w:t>
      </w:r>
      <w:r w:rsidR="00AA78C9">
        <w:t xml:space="preserve"> lehine hiçbir şekilde kâr garantisi verilemez </w:t>
      </w:r>
      <w:r w:rsidR="00F17845" w:rsidRPr="00840976">
        <w:t>ve</w:t>
      </w:r>
      <w:r w:rsidR="00B71E62" w:rsidRPr="00840976">
        <w:t xml:space="preserve"> hiçbir</w:t>
      </w:r>
      <w:r w:rsidR="00F17845" w:rsidRPr="00840976">
        <w:t xml:space="preserve"> ortak</w:t>
      </w:r>
      <w:r w:rsidR="00B71E62" w:rsidRPr="00840976">
        <w:t xml:space="preserve"> </w:t>
      </w:r>
      <w:r w:rsidR="004F1A20" w:rsidRPr="00840976">
        <w:t>kâr</w:t>
      </w:r>
      <w:r w:rsidR="00B71E62" w:rsidRPr="00840976">
        <w:t xml:space="preserve"> payından mahrum</w:t>
      </w:r>
      <w:r w:rsidR="00F17845" w:rsidRPr="00840976">
        <w:t xml:space="preserve"> </w:t>
      </w:r>
      <w:r w:rsidR="00B71E62" w:rsidRPr="00840976">
        <w:t>edilemez.</w:t>
      </w:r>
    </w:p>
    <w:p w14:paraId="32E1A3FE" w14:textId="08E9E847" w:rsidR="004E4AB8" w:rsidRPr="00840976" w:rsidRDefault="00A717B1" w:rsidP="008C64E9">
      <w:pPr>
        <w:pStyle w:val="Balk2"/>
        <w:ind w:left="284"/>
      </w:pPr>
      <w:bookmarkStart w:id="26" w:name="_Toc170257357"/>
      <w:bookmarkStart w:id="27" w:name="_Hlk187919387"/>
      <w:r>
        <w:t>Beklenen</w:t>
      </w:r>
      <w:r w:rsidR="004E4AB8" w:rsidRPr="00840976">
        <w:t xml:space="preserve"> </w:t>
      </w:r>
      <w:r w:rsidR="00156F57">
        <w:t>Kâr</w:t>
      </w:r>
      <w:bookmarkEnd w:id="26"/>
      <w:r>
        <w:t>ı Aşan Kısım</w:t>
      </w:r>
    </w:p>
    <w:bookmarkEnd w:id="27"/>
    <w:p w14:paraId="45746481" w14:textId="26A2C747" w:rsidR="00B158CE" w:rsidRPr="00840976" w:rsidRDefault="00DB0D6A" w:rsidP="00DB0D6A">
      <w:pPr>
        <w:pStyle w:val="ListeParagraf"/>
        <w:ind w:left="284"/>
        <w:contextualSpacing w:val="0"/>
        <w:jc w:val="both"/>
        <w:rPr>
          <w:strike/>
        </w:rPr>
      </w:pPr>
      <w:r w:rsidRPr="00840976">
        <w:rPr>
          <w:rFonts w:cs="Times New Roman"/>
          <w:b/>
          <w:bCs/>
          <w:szCs w:val="24"/>
        </w:rPr>
        <w:t xml:space="preserve">Madde </w:t>
      </w:r>
      <w:r w:rsidR="003071E7" w:rsidRPr="00840976">
        <w:rPr>
          <w:rFonts w:cs="Times New Roman"/>
          <w:b/>
          <w:bCs/>
          <w:szCs w:val="24"/>
        </w:rPr>
        <w:t>1</w:t>
      </w:r>
      <w:r w:rsidR="00606AA6">
        <w:rPr>
          <w:rFonts w:cs="Times New Roman"/>
          <w:b/>
          <w:bCs/>
          <w:szCs w:val="24"/>
        </w:rPr>
        <w:t>8</w:t>
      </w:r>
      <w:r w:rsidR="003071E7" w:rsidRPr="00840976">
        <w:rPr>
          <w:rFonts w:cs="Times New Roman"/>
          <w:b/>
          <w:bCs/>
          <w:szCs w:val="24"/>
        </w:rPr>
        <w:t>-</w:t>
      </w:r>
      <w:r w:rsidRPr="00840976">
        <w:rPr>
          <w:rFonts w:cs="Times New Roman"/>
          <w:b/>
          <w:bCs/>
          <w:szCs w:val="24"/>
        </w:rPr>
        <w:t xml:space="preserve"> </w:t>
      </w:r>
      <w:proofErr w:type="spellStart"/>
      <w:r w:rsidR="00156F57">
        <w:t>Müşâreke</w:t>
      </w:r>
      <w:r w:rsidR="00B158CE" w:rsidRPr="00840976">
        <w:t>de</w:t>
      </w:r>
      <w:proofErr w:type="spellEnd"/>
      <w:r w:rsidR="00B158CE" w:rsidRPr="00840976">
        <w:t xml:space="preserve">, belli bir kâr miktarına ulaşılması durumunda bu miktarın üzerindeki kârın </w:t>
      </w:r>
      <w:r w:rsidR="00E95D7A" w:rsidRPr="00840976">
        <w:t xml:space="preserve">ortaklardan </w:t>
      </w:r>
      <w:r w:rsidR="00F17845" w:rsidRPr="00840976">
        <w:t xml:space="preserve">birine veya </w:t>
      </w:r>
      <w:r w:rsidR="00F17845" w:rsidRPr="00DF3397">
        <w:rPr>
          <w:color w:val="000000" w:themeColor="text1"/>
        </w:rPr>
        <w:t>birkaçına</w:t>
      </w:r>
      <w:r w:rsidR="00A717B1" w:rsidRPr="00DF3397">
        <w:rPr>
          <w:color w:val="000000" w:themeColor="text1"/>
        </w:rPr>
        <w:t xml:space="preserve"> </w:t>
      </w:r>
      <w:r w:rsidR="00A717B1" w:rsidRPr="00DF3397">
        <w:rPr>
          <w:rFonts w:asciiTheme="majorBidi" w:hAnsiTheme="majorBidi" w:cstheme="majorBidi"/>
          <w:color w:val="000000" w:themeColor="text1"/>
          <w:szCs w:val="24"/>
        </w:rPr>
        <w:t>ya da şirket çalışanlarına</w:t>
      </w:r>
      <w:r w:rsidR="00F17845" w:rsidRPr="00DF3397">
        <w:rPr>
          <w:color w:val="000000" w:themeColor="text1"/>
        </w:rPr>
        <w:t xml:space="preserve"> </w:t>
      </w:r>
      <w:r w:rsidR="00B158CE" w:rsidRPr="00DF3397">
        <w:rPr>
          <w:color w:val="000000" w:themeColor="text1"/>
        </w:rPr>
        <w:t xml:space="preserve">ait </w:t>
      </w:r>
      <w:r w:rsidR="00B158CE" w:rsidRPr="00840976">
        <w:t>olacağı kararlaştırılabilir.</w:t>
      </w:r>
    </w:p>
    <w:p w14:paraId="3EFE3901" w14:textId="52E1A752" w:rsidR="004E4AB8" w:rsidRPr="00840976" w:rsidRDefault="004E4AB8" w:rsidP="008C64E9">
      <w:pPr>
        <w:pStyle w:val="Balk2"/>
        <w:ind w:left="284"/>
      </w:pPr>
      <w:bookmarkStart w:id="28" w:name="_Toc170257358"/>
      <w:r w:rsidRPr="00840976">
        <w:t>Zarara Katılma</w:t>
      </w:r>
      <w:bookmarkEnd w:id="28"/>
    </w:p>
    <w:p w14:paraId="58C5F13A" w14:textId="669692D4" w:rsidR="003A3B36" w:rsidRDefault="00DB0D6A" w:rsidP="00DB0D6A">
      <w:pPr>
        <w:pStyle w:val="ListeParagraf"/>
        <w:ind w:left="284"/>
        <w:contextualSpacing w:val="0"/>
        <w:jc w:val="both"/>
      </w:pPr>
      <w:r w:rsidRPr="00840976">
        <w:rPr>
          <w:rFonts w:cs="Times New Roman"/>
          <w:b/>
          <w:bCs/>
          <w:szCs w:val="24"/>
        </w:rPr>
        <w:t xml:space="preserve">Madde </w:t>
      </w:r>
      <w:r w:rsidR="003071E7" w:rsidRPr="00840976">
        <w:rPr>
          <w:rFonts w:cs="Times New Roman"/>
          <w:b/>
          <w:bCs/>
          <w:szCs w:val="24"/>
        </w:rPr>
        <w:t>1</w:t>
      </w:r>
      <w:r w:rsidR="00606AA6">
        <w:rPr>
          <w:rFonts w:cs="Times New Roman"/>
          <w:b/>
          <w:bCs/>
          <w:szCs w:val="24"/>
        </w:rPr>
        <w:t>9</w:t>
      </w:r>
      <w:r w:rsidR="003071E7">
        <w:rPr>
          <w:rFonts w:cs="Times New Roman"/>
          <w:b/>
          <w:bCs/>
          <w:szCs w:val="24"/>
        </w:rPr>
        <w:t>-</w:t>
      </w:r>
      <w:r w:rsidRPr="00840976">
        <w:rPr>
          <w:rFonts w:cs="Times New Roman"/>
          <w:b/>
          <w:bCs/>
          <w:szCs w:val="24"/>
        </w:rPr>
        <w:t xml:space="preserve"> </w:t>
      </w:r>
      <w:r w:rsidR="003A3B36" w:rsidRPr="00840976">
        <w:t>O</w:t>
      </w:r>
      <w:r w:rsidR="00A45DFA" w:rsidRPr="00840976">
        <w:t>rtaklar</w:t>
      </w:r>
      <w:r w:rsidR="00CD4BE3" w:rsidRPr="00840976">
        <w:t xml:space="preserve">, </w:t>
      </w:r>
      <w:r w:rsidR="003A3B36" w:rsidRPr="00840976">
        <w:t>zarara</w:t>
      </w:r>
      <w:r w:rsidR="00A45DFA" w:rsidRPr="00840976">
        <w:t xml:space="preserve"> sermaye</w:t>
      </w:r>
      <w:r w:rsidR="00443628" w:rsidRPr="00840976">
        <w:t>deki payları</w:t>
      </w:r>
      <w:r w:rsidR="00A45DFA" w:rsidRPr="00840976">
        <w:t xml:space="preserve"> </w:t>
      </w:r>
      <w:r w:rsidR="00443628" w:rsidRPr="00840976">
        <w:t xml:space="preserve">oranında </w:t>
      </w:r>
      <w:r w:rsidR="003A3B36" w:rsidRPr="00840976">
        <w:t>katılırlar</w:t>
      </w:r>
      <w:r w:rsidR="00443628" w:rsidRPr="00840976">
        <w:t>. Bunun</w:t>
      </w:r>
      <w:r w:rsidR="00D65079" w:rsidRPr="00840976">
        <w:t xml:space="preserve"> aksi</w:t>
      </w:r>
      <w:r w:rsidR="00443628" w:rsidRPr="00840976">
        <w:t xml:space="preserve"> kararlaştırıl</w:t>
      </w:r>
      <w:r w:rsidR="00B9298F" w:rsidRPr="00840976">
        <w:t>amaz</w:t>
      </w:r>
      <w:r w:rsidR="00600BE3" w:rsidRPr="00840976">
        <w:t>.</w:t>
      </w:r>
    </w:p>
    <w:p w14:paraId="2828059B" w14:textId="31C44D99" w:rsidR="004E4AB8" w:rsidRPr="00840976" w:rsidRDefault="004E4AB8" w:rsidP="008C64E9">
      <w:pPr>
        <w:pStyle w:val="Balk2"/>
        <w:ind w:left="284"/>
      </w:pPr>
      <w:bookmarkStart w:id="29" w:name="_Toc170257359"/>
      <w:r w:rsidRPr="00840976">
        <w:t>Yöneticinin Sorumluluğu</w:t>
      </w:r>
      <w:bookmarkEnd w:id="29"/>
    </w:p>
    <w:p w14:paraId="630AB831" w14:textId="615F26EE" w:rsidR="00CD6E24" w:rsidRPr="00840976" w:rsidRDefault="00DB0D6A" w:rsidP="00BA2441">
      <w:pPr>
        <w:pStyle w:val="ListeParagraf"/>
        <w:ind w:left="284"/>
        <w:contextualSpacing w:val="0"/>
        <w:jc w:val="both"/>
      </w:pPr>
      <w:r w:rsidRPr="00840976">
        <w:rPr>
          <w:rFonts w:cs="Times New Roman"/>
          <w:b/>
          <w:bCs/>
          <w:szCs w:val="24"/>
        </w:rPr>
        <w:t xml:space="preserve">Madde </w:t>
      </w:r>
      <w:r w:rsidR="00606AA6">
        <w:rPr>
          <w:rFonts w:cs="Times New Roman"/>
          <w:b/>
          <w:bCs/>
          <w:szCs w:val="24"/>
        </w:rPr>
        <w:t>20</w:t>
      </w:r>
      <w:r w:rsidR="003071E7">
        <w:rPr>
          <w:rFonts w:cs="Times New Roman"/>
          <w:b/>
          <w:bCs/>
          <w:szCs w:val="24"/>
        </w:rPr>
        <w:t>-</w:t>
      </w:r>
      <w:r w:rsidR="00661B22">
        <w:rPr>
          <w:rFonts w:cs="Times New Roman"/>
          <w:b/>
          <w:bCs/>
          <w:szCs w:val="24"/>
        </w:rPr>
        <w:t xml:space="preserve"> </w:t>
      </w:r>
      <w:r w:rsidR="00CD6E24" w:rsidRPr="00840976">
        <w:t>Yönetici ortak ve</w:t>
      </w:r>
      <w:r w:rsidR="006A6E95">
        <w:t>ya</w:t>
      </w:r>
      <w:r w:rsidR="00CD6E24" w:rsidRPr="00840976">
        <w:t xml:space="preserve"> varsa dışar</w:t>
      </w:r>
      <w:r w:rsidR="00757285">
        <w:t>ı</w:t>
      </w:r>
      <w:r w:rsidR="00CD6E24" w:rsidRPr="00840976">
        <w:t>dan atanan yönetici, sözleşmeye aykırı davranış</w:t>
      </w:r>
      <w:r w:rsidR="00A717B1">
        <w:t>ı</w:t>
      </w:r>
      <w:r w:rsidR="00CD6E24" w:rsidRPr="00840976">
        <w:t xml:space="preserve"> ya da kusur</w:t>
      </w:r>
      <w:r w:rsidR="00A717B1">
        <w:t>u</w:t>
      </w:r>
      <w:r w:rsidR="00CD6E24" w:rsidRPr="00840976">
        <w:t xml:space="preserve"> nedeniyle meydana gelen zararı karşılamakla yükümlüdür. Yönetici</w:t>
      </w:r>
      <w:r w:rsidR="006A6E95">
        <w:t>n</w:t>
      </w:r>
      <w:r w:rsidR="00CD6E24" w:rsidRPr="00840976">
        <w:t>in</w:t>
      </w:r>
      <w:r w:rsidR="00A3327C">
        <w:t xml:space="preserve"> sözleşmeye aykırı davranışı veya kusuru</w:t>
      </w:r>
      <w:r w:rsidR="007E50C9">
        <w:t xml:space="preserve"> olmadığı durumda</w:t>
      </w:r>
      <w:r w:rsidR="00A3327C">
        <w:t xml:space="preserve"> zarardan </w:t>
      </w:r>
      <w:r w:rsidR="00CD6E24" w:rsidRPr="00840976">
        <w:t xml:space="preserve">sorumlu </w:t>
      </w:r>
      <w:r w:rsidR="006A6E95">
        <w:t>olacağına</w:t>
      </w:r>
      <w:r w:rsidR="006A6E95" w:rsidRPr="00840976">
        <w:t xml:space="preserve"> </w:t>
      </w:r>
      <w:r w:rsidR="00CD6E24" w:rsidRPr="00840976">
        <w:t xml:space="preserve">dair </w:t>
      </w:r>
      <w:r w:rsidR="00A3327C">
        <w:t xml:space="preserve">her türlü </w:t>
      </w:r>
      <w:r w:rsidR="003071E7">
        <w:t>şart</w:t>
      </w:r>
      <w:r w:rsidR="00A3327C">
        <w:t xml:space="preserve"> </w:t>
      </w:r>
      <w:r w:rsidR="00CD6E24" w:rsidRPr="00840976">
        <w:t>geçersizdir.</w:t>
      </w:r>
    </w:p>
    <w:p w14:paraId="249F2354" w14:textId="34FB8FB1" w:rsidR="004E4AB8" w:rsidRPr="00840976" w:rsidRDefault="004E4AB8" w:rsidP="008C64E9">
      <w:pPr>
        <w:pStyle w:val="Balk2"/>
        <w:ind w:left="284"/>
      </w:pPr>
      <w:bookmarkStart w:id="30" w:name="_Toc170257360"/>
      <w:r w:rsidRPr="00840976">
        <w:lastRenderedPageBreak/>
        <w:t>Avans Ödeme</w:t>
      </w:r>
      <w:bookmarkEnd w:id="30"/>
    </w:p>
    <w:p w14:paraId="1308FF86" w14:textId="7E75EFBB" w:rsidR="001E0857" w:rsidRPr="00840976" w:rsidRDefault="00BA2441" w:rsidP="00BA2441">
      <w:pPr>
        <w:pStyle w:val="ListeParagraf"/>
        <w:ind w:left="284"/>
        <w:contextualSpacing w:val="0"/>
        <w:jc w:val="both"/>
        <w:rPr>
          <w:szCs w:val="24"/>
        </w:rPr>
      </w:pPr>
      <w:r w:rsidRPr="00840976">
        <w:rPr>
          <w:rFonts w:cs="Times New Roman"/>
          <w:b/>
          <w:bCs/>
          <w:szCs w:val="24"/>
        </w:rPr>
        <w:t xml:space="preserve">Madde </w:t>
      </w:r>
      <w:r w:rsidR="00603EE3">
        <w:rPr>
          <w:rFonts w:cs="Times New Roman"/>
          <w:b/>
          <w:bCs/>
          <w:szCs w:val="24"/>
        </w:rPr>
        <w:t>2</w:t>
      </w:r>
      <w:r w:rsidR="00606AA6">
        <w:rPr>
          <w:rFonts w:cs="Times New Roman"/>
          <w:b/>
          <w:bCs/>
          <w:szCs w:val="24"/>
        </w:rPr>
        <w:t>1</w:t>
      </w:r>
      <w:r w:rsidR="003071E7" w:rsidRPr="00840976">
        <w:rPr>
          <w:rFonts w:cs="Times New Roman"/>
          <w:b/>
          <w:bCs/>
          <w:szCs w:val="24"/>
        </w:rPr>
        <w:t xml:space="preserve">- </w:t>
      </w:r>
      <w:r w:rsidR="00991017">
        <w:t>O</w:t>
      </w:r>
      <w:r w:rsidR="003071E7">
        <w:t>rtaklara</w:t>
      </w:r>
      <w:r w:rsidR="00433315" w:rsidRPr="00840976">
        <w:t xml:space="preserve">, </w:t>
      </w:r>
      <w:r w:rsidR="00B64CFD" w:rsidRPr="00840976">
        <w:t xml:space="preserve">avans niteliğinde olmak üzere ödemeler </w:t>
      </w:r>
      <w:r w:rsidR="00991017">
        <w:t>yapılabileceği kararlaştırılabilir</w:t>
      </w:r>
      <w:r w:rsidR="00B64CFD" w:rsidRPr="00840976">
        <w:t>.</w:t>
      </w:r>
    </w:p>
    <w:p w14:paraId="53C1EEBA" w14:textId="5E9C5616" w:rsidR="00DE68CC" w:rsidRPr="00840976" w:rsidRDefault="00156F57" w:rsidP="00DF3397">
      <w:pPr>
        <w:pStyle w:val="Balk1"/>
        <w:numPr>
          <w:ilvl w:val="0"/>
          <w:numId w:val="26"/>
        </w:numPr>
        <w:spacing w:after="240"/>
      </w:pPr>
      <w:bookmarkStart w:id="31" w:name="_Toc170257361"/>
      <w:proofErr w:type="spellStart"/>
      <w:r>
        <w:t>Müşâreke</w:t>
      </w:r>
      <w:r w:rsidR="0062724D" w:rsidRPr="00840976">
        <w:t>nin</w:t>
      </w:r>
      <w:proofErr w:type="spellEnd"/>
      <w:r w:rsidR="00DE68CC" w:rsidRPr="00840976">
        <w:t xml:space="preserve"> Yönetim</w:t>
      </w:r>
      <w:r w:rsidR="008E3BB6" w:rsidRPr="00840976">
        <w:t>i</w:t>
      </w:r>
      <w:r w:rsidR="00754258" w:rsidRPr="00840976">
        <w:t xml:space="preserve"> ile İlgili Hükümler</w:t>
      </w:r>
      <w:bookmarkEnd w:id="31"/>
    </w:p>
    <w:p w14:paraId="70C202FC" w14:textId="35C72C4E" w:rsidR="004E4AB8" w:rsidRPr="00840976" w:rsidRDefault="004E4AB8" w:rsidP="008C64E9">
      <w:pPr>
        <w:pStyle w:val="Balk2"/>
        <w:ind w:left="284"/>
      </w:pPr>
      <w:bookmarkStart w:id="32" w:name="_Toc170257362"/>
      <w:r w:rsidRPr="00840976">
        <w:t>Ortaklığın Yönetimi</w:t>
      </w:r>
      <w:bookmarkEnd w:id="32"/>
    </w:p>
    <w:p w14:paraId="18012CBD" w14:textId="1BB7A933" w:rsidR="00B7117A" w:rsidRPr="00840976" w:rsidRDefault="00BA2441" w:rsidP="005A17B8">
      <w:pPr>
        <w:pStyle w:val="ListeParagraf"/>
        <w:ind w:left="284"/>
        <w:contextualSpacing w:val="0"/>
        <w:jc w:val="both"/>
      </w:pPr>
      <w:r w:rsidRPr="00840976">
        <w:rPr>
          <w:rFonts w:cs="Times New Roman"/>
          <w:b/>
          <w:bCs/>
          <w:szCs w:val="24"/>
        </w:rPr>
        <w:t xml:space="preserve">Madde </w:t>
      </w:r>
      <w:r w:rsidR="003071E7" w:rsidRPr="00840976">
        <w:rPr>
          <w:rFonts w:cs="Times New Roman"/>
          <w:b/>
          <w:bCs/>
          <w:szCs w:val="24"/>
        </w:rPr>
        <w:t>2</w:t>
      </w:r>
      <w:r w:rsidR="00606AA6">
        <w:rPr>
          <w:rFonts w:cs="Times New Roman"/>
          <w:b/>
          <w:bCs/>
          <w:szCs w:val="24"/>
        </w:rPr>
        <w:t>2</w:t>
      </w:r>
      <w:r w:rsidR="003071E7" w:rsidRPr="00840976">
        <w:rPr>
          <w:rFonts w:cs="Times New Roman"/>
          <w:b/>
          <w:bCs/>
          <w:szCs w:val="24"/>
        </w:rPr>
        <w:t>-</w:t>
      </w:r>
      <w:r w:rsidRPr="00840976">
        <w:rPr>
          <w:rFonts w:cs="Times New Roman"/>
          <w:b/>
          <w:bCs/>
          <w:szCs w:val="24"/>
        </w:rPr>
        <w:t xml:space="preserve"> </w:t>
      </w:r>
      <w:r w:rsidR="00BB4472" w:rsidRPr="00840976">
        <w:t xml:space="preserve">Yönetim, ortaklardan birisi, birkaçı ya da hepsi tarafından yapılabileceği </w:t>
      </w:r>
      <w:r w:rsidR="00B73410" w:rsidRPr="00840976">
        <w:t xml:space="preserve">gibi </w:t>
      </w:r>
      <w:r w:rsidR="00BB4472" w:rsidRPr="00840976">
        <w:t>ortaklar dışındak</w:t>
      </w:r>
      <w:r w:rsidR="007E50C9">
        <w:t>i kişiler de</w:t>
      </w:r>
      <w:r w:rsidR="000E15C7" w:rsidRPr="00840976">
        <w:t xml:space="preserve"> yönetici olarak atanabilir.</w:t>
      </w:r>
      <w:r w:rsidR="00B7117A" w:rsidRPr="00840976">
        <w:rPr>
          <w:highlight w:val="cyan"/>
        </w:rPr>
        <w:t xml:space="preserve"> </w:t>
      </w:r>
    </w:p>
    <w:p w14:paraId="5EF11632" w14:textId="0173B078" w:rsidR="004E4AB8" w:rsidRPr="00840976" w:rsidRDefault="004E4AB8" w:rsidP="008C64E9">
      <w:pPr>
        <w:pStyle w:val="Balk2"/>
        <w:ind w:left="284"/>
      </w:pPr>
      <w:bookmarkStart w:id="33" w:name="_Toc170257363"/>
      <w:r w:rsidRPr="00840976">
        <w:t>Yönetici Ortağın Ücreti</w:t>
      </w:r>
      <w:bookmarkEnd w:id="33"/>
    </w:p>
    <w:p w14:paraId="609E5FFD" w14:textId="640A083F" w:rsidR="00F7796A" w:rsidRPr="00840976" w:rsidRDefault="005A17B8" w:rsidP="00F7796A">
      <w:pPr>
        <w:pStyle w:val="ListeParagraf"/>
        <w:ind w:left="284"/>
        <w:contextualSpacing w:val="0"/>
        <w:jc w:val="both"/>
      </w:pPr>
      <w:r w:rsidRPr="00840976">
        <w:rPr>
          <w:rFonts w:cs="Times New Roman"/>
          <w:b/>
          <w:bCs/>
          <w:szCs w:val="24"/>
        </w:rPr>
        <w:t xml:space="preserve">Madde </w:t>
      </w:r>
      <w:r w:rsidR="003071E7" w:rsidRPr="00840976">
        <w:rPr>
          <w:rFonts w:cs="Times New Roman"/>
          <w:b/>
          <w:bCs/>
          <w:szCs w:val="24"/>
        </w:rPr>
        <w:t>2</w:t>
      </w:r>
      <w:r w:rsidR="00606AA6">
        <w:rPr>
          <w:rFonts w:cs="Times New Roman"/>
          <w:b/>
          <w:bCs/>
          <w:szCs w:val="24"/>
        </w:rPr>
        <w:t>3</w:t>
      </w:r>
      <w:r w:rsidR="003071E7" w:rsidRPr="00840976">
        <w:rPr>
          <w:rFonts w:cs="Times New Roman"/>
          <w:b/>
          <w:bCs/>
          <w:szCs w:val="24"/>
        </w:rPr>
        <w:t>-</w:t>
      </w:r>
      <w:r w:rsidRPr="00840976">
        <w:rPr>
          <w:rFonts w:cs="Times New Roman"/>
          <w:b/>
          <w:bCs/>
          <w:szCs w:val="24"/>
        </w:rPr>
        <w:t xml:space="preserve"> </w:t>
      </w:r>
      <w:r w:rsidR="00344B26" w:rsidRPr="00840976">
        <w:t>Şirket yönetiminin, ortaklardan biri tarafından üstlenilmesi durumunda</w:t>
      </w:r>
      <w:r w:rsidR="00987EB5" w:rsidRPr="00840976">
        <w:t xml:space="preserve"> </w:t>
      </w:r>
      <w:r w:rsidR="00ED0B62" w:rsidRPr="00840976">
        <w:t xml:space="preserve">tüm </w:t>
      </w:r>
      <w:r w:rsidR="00987EB5" w:rsidRPr="00840976">
        <w:t>ortakların rızasıyla</w:t>
      </w:r>
      <w:r w:rsidR="00344B26" w:rsidRPr="00840976">
        <w:t xml:space="preserve"> bu ortağın kârdaki hissesi artırılabileceği gibi kendisine belirli bir ücret de tahsis edilebilir</w:t>
      </w:r>
      <w:r w:rsidR="00C775C8">
        <w:t>.</w:t>
      </w:r>
    </w:p>
    <w:p w14:paraId="07D97E32" w14:textId="33B6A1F8" w:rsidR="004E4AB8" w:rsidRPr="00840976" w:rsidRDefault="004E4AB8" w:rsidP="008C64E9">
      <w:pPr>
        <w:pStyle w:val="Balk2"/>
        <w:ind w:left="284"/>
      </w:pPr>
      <w:bookmarkStart w:id="34" w:name="_Toc170257364"/>
      <w:r w:rsidRPr="00840976">
        <w:t>Masraflar</w:t>
      </w:r>
      <w:bookmarkEnd w:id="34"/>
      <w:r w:rsidRPr="00840976">
        <w:t xml:space="preserve"> </w:t>
      </w:r>
    </w:p>
    <w:p w14:paraId="5EF300CE" w14:textId="11BF3FCA" w:rsidR="002E46F2" w:rsidRPr="00840976" w:rsidRDefault="005A17B8" w:rsidP="005A17B8">
      <w:pPr>
        <w:pStyle w:val="ListeParagraf"/>
        <w:ind w:left="284"/>
        <w:contextualSpacing w:val="0"/>
        <w:jc w:val="both"/>
      </w:pPr>
      <w:r w:rsidRPr="00840976">
        <w:rPr>
          <w:rFonts w:cs="Times New Roman"/>
          <w:b/>
          <w:bCs/>
          <w:szCs w:val="24"/>
        </w:rPr>
        <w:t xml:space="preserve">Madde </w:t>
      </w:r>
      <w:r w:rsidR="0030272B" w:rsidRPr="00840976">
        <w:rPr>
          <w:rFonts w:cs="Times New Roman"/>
          <w:b/>
          <w:bCs/>
          <w:szCs w:val="24"/>
        </w:rPr>
        <w:t>2</w:t>
      </w:r>
      <w:r w:rsidR="00606AA6">
        <w:rPr>
          <w:rFonts w:cs="Times New Roman"/>
          <w:b/>
          <w:bCs/>
          <w:szCs w:val="24"/>
        </w:rPr>
        <w:t>4</w:t>
      </w:r>
      <w:r w:rsidR="0030272B">
        <w:rPr>
          <w:rFonts w:cs="Times New Roman"/>
          <w:b/>
          <w:bCs/>
          <w:szCs w:val="24"/>
        </w:rPr>
        <w:t>-</w:t>
      </w:r>
      <w:r w:rsidRPr="00840976">
        <w:rPr>
          <w:rFonts w:cs="Times New Roman"/>
          <w:b/>
          <w:bCs/>
          <w:szCs w:val="24"/>
        </w:rPr>
        <w:t xml:space="preserve"> </w:t>
      </w:r>
      <w:r w:rsidR="002254B8" w:rsidRPr="00840976">
        <w:t>Ortaklık</w:t>
      </w:r>
      <w:r w:rsidR="00961E09" w:rsidRPr="00840976">
        <w:t xml:space="preserve"> sermayesini</w:t>
      </w:r>
      <w:r w:rsidR="006C3ECC" w:rsidRPr="00840976">
        <w:t>n işletilmesiyle ilgili olan</w:t>
      </w:r>
      <w:r w:rsidR="00961E09" w:rsidRPr="00840976">
        <w:t xml:space="preserve"> masraflar</w:t>
      </w:r>
      <w:r w:rsidR="00CA0CE7" w:rsidRPr="00840976">
        <w:t xml:space="preserve"> </w:t>
      </w:r>
      <w:r w:rsidR="00543CDB">
        <w:t xml:space="preserve">ortaklığın malvarlığından </w:t>
      </w:r>
      <w:r w:rsidR="00961E09" w:rsidRPr="00840976">
        <w:t xml:space="preserve">karşılanır. </w:t>
      </w:r>
      <w:r w:rsidR="00D43C1A" w:rsidRPr="00840976">
        <w:t>S</w:t>
      </w:r>
      <w:r w:rsidR="009F60EF" w:rsidRPr="00840976">
        <w:t xml:space="preserve">öz konusu masrafların ortaklardan bir ya da birkaçı tarafından karşılanacağına yönelik bir şart </w:t>
      </w:r>
      <w:r w:rsidR="0030272B">
        <w:t>kararlaştırılamaz.</w:t>
      </w:r>
    </w:p>
    <w:p w14:paraId="3C9CDB48" w14:textId="2A52A43C" w:rsidR="004E4AB8" w:rsidRPr="00840976" w:rsidRDefault="00156F57" w:rsidP="00DF3397">
      <w:pPr>
        <w:pStyle w:val="Balk1"/>
        <w:numPr>
          <w:ilvl w:val="0"/>
          <w:numId w:val="26"/>
        </w:numPr>
        <w:spacing w:after="240"/>
      </w:pPr>
      <w:bookmarkStart w:id="35" w:name="_Toc170257365"/>
      <w:bookmarkStart w:id="36" w:name="_Hlk167810097"/>
      <w:proofErr w:type="spellStart"/>
      <w:r>
        <w:t>Müşâreke</w:t>
      </w:r>
      <w:r w:rsidR="008310C9" w:rsidRPr="00840976">
        <w:t>ye</w:t>
      </w:r>
      <w:proofErr w:type="spellEnd"/>
      <w:r w:rsidR="008310C9" w:rsidRPr="00840976">
        <w:t xml:space="preserve"> İlişkin </w:t>
      </w:r>
      <w:r w:rsidR="00484900" w:rsidRPr="00840976">
        <w:t>Teminat</w:t>
      </w:r>
      <w:r w:rsidR="008310C9" w:rsidRPr="00840976">
        <w:t>lar ile İlgili Hüküm</w:t>
      </w:r>
      <w:bookmarkEnd w:id="35"/>
      <w:r w:rsidR="0030272B">
        <w:t>ler</w:t>
      </w:r>
    </w:p>
    <w:p w14:paraId="6853DAAA" w14:textId="4E0FCB59" w:rsidR="004E4AB8" w:rsidRPr="00840976" w:rsidRDefault="004E4AB8" w:rsidP="008C64E9">
      <w:pPr>
        <w:pStyle w:val="Balk2"/>
        <w:ind w:left="284"/>
      </w:pPr>
      <w:bookmarkStart w:id="37" w:name="_Toc170257366"/>
      <w:r w:rsidRPr="00840976">
        <w:t>Garanti Yasağı ve Teminat</w:t>
      </w:r>
      <w:bookmarkEnd w:id="37"/>
    </w:p>
    <w:bookmarkEnd w:id="36"/>
    <w:p w14:paraId="11CA5BBA" w14:textId="343EB77D" w:rsidR="00B32244" w:rsidRPr="00840976" w:rsidRDefault="005A17B8" w:rsidP="0030272B">
      <w:pPr>
        <w:pStyle w:val="ListeParagraf"/>
        <w:ind w:left="284"/>
        <w:contextualSpacing w:val="0"/>
        <w:jc w:val="both"/>
      </w:pPr>
      <w:r w:rsidRPr="00840976">
        <w:rPr>
          <w:rFonts w:cs="Times New Roman"/>
          <w:b/>
          <w:bCs/>
          <w:szCs w:val="24"/>
        </w:rPr>
        <w:t xml:space="preserve">Madde </w:t>
      </w:r>
      <w:r w:rsidR="0030272B" w:rsidRPr="00840976">
        <w:rPr>
          <w:rFonts w:cs="Times New Roman"/>
          <w:b/>
          <w:bCs/>
          <w:szCs w:val="24"/>
        </w:rPr>
        <w:t>2</w:t>
      </w:r>
      <w:r w:rsidR="00606AA6">
        <w:rPr>
          <w:rFonts w:cs="Times New Roman"/>
          <w:b/>
          <w:bCs/>
          <w:szCs w:val="24"/>
        </w:rPr>
        <w:t>5</w:t>
      </w:r>
      <w:r w:rsidR="0030272B">
        <w:rPr>
          <w:rFonts w:cs="Times New Roman"/>
          <w:b/>
          <w:bCs/>
          <w:szCs w:val="24"/>
        </w:rPr>
        <w:t>-</w:t>
      </w:r>
      <w:r w:rsidRPr="00840976">
        <w:rPr>
          <w:rFonts w:cs="Times New Roman"/>
          <w:b/>
          <w:bCs/>
          <w:szCs w:val="24"/>
        </w:rPr>
        <w:t xml:space="preserve"> </w:t>
      </w:r>
      <w:proofErr w:type="spellStart"/>
      <w:r w:rsidR="00156F57">
        <w:t>Müşâreke</w:t>
      </w:r>
      <w:r w:rsidR="00B32244" w:rsidRPr="00840976">
        <w:t>de</w:t>
      </w:r>
      <w:proofErr w:type="spellEnd"/>
      <w:r w:rsidR="00B32244" w:rsidRPr="00840976">
        <w:t xml:space="preserve"> </w:t>
      </w:r>
      <w:r w:rsidR="00344B26" w:rsidRPr="00840976">
        <w:t xml:space="preserve">ortakların sermayedeki katılım payları, oluşacak zararlara karşı </w:t>
      </w:r>
      <w:r w:rsidR="00543CDB">
        <w:t xml:space="preserve">ortaklık tarafından </w:t>
      </w:r>
      <w:r w:rsidR="00344B26" w:rsidRPr="00840976">
        <w:t>garanti edilemez veya bu amaçla teminat verilemez.</w:t>
      </w:r>
      <w:r w:rsidR="0030272B">
        <w:t xml:space="preserve"> Ancak o</w:t>
      </w:r>
      <w:r w:rsidR="00344B26" w:rsidRPr="00840976">
        <w:t>rtakların kusur veya sözleşme şartlarına aykırılık sebebi ile verecekleri zararların tazminini temin amacıyla ve münhasıran bu hallerde kullanılmak üzere kendilerinden teminat alınabilir.</w:t>
      </w:r>
    </w:p>
    <w:p w14:paraId="37AEDEEC" w14:textId="38EACCD4" w:rsidR="004E4AB8" w:rsidRPr="00840976" w:rsidRDefault="00156F57" w:rsidP="00DF3397">
      <w:pPr>
        <w:pStyle w:val="Balk1"/>
        <w:numPr>
          <w:ilvl w:val="0"/>
          <w:numId w:val="26"/>
        </w:numPr>
        <w:spacing w:after="240"/>
      </w:pPr>
      <w:bookmarkStart w:id="38" w:name="_Toc170257367"/>
      <w:proofErr w:type="spellStart"/>
      <w:r>
        <w:t>Müşâreke</w:t>
      </w:r>
      <w:r w:rsidR="00EE597C" w:rsidRPr="00840976">
        <w:t>nin</w:t>
      </w:r>
      <w:proofErr w:type="spellEnd"/>
      <w:r w:rsidR="00EE597C" w:rsidRPr="00840976">
        <w:t xml:space="preserve"> Sona Ermesi ile İlgili Hükümler</w:t>
      </w:r>
      <w:bookmarkEnd w:id="38"/>
    </w:p>
    <w:p w14:paraId="2AFAE52C" w14:textId="4E4D5C4F" w:rsidR="004E4AB8" w:rsidRPr="00840976" w:rsidRDefault="004E4AB8" w:rsidP="008C64E9">
      <w:pPr>
        <w:pStyle w:val="Balk2"/>
        <w:ind w:left="284"/>
      </w:pPr>
      <w:bookmarkStart w:id="39" w:name="_Toc170257368"/>
      <w:r w:rsidRPr="00840976">
        <w:t>Ortaklığın Kendiliğinden Sona Ermes</w:t>
      </w:r>
      <w:r w:rsidR="002135BD" w:rsidRPr="00840976">
        <w:t>i</w:t>
      </w:r>
      <w:bookmarkEnd w:id="39"/>
    </w:p>
    <w:p w14:paraId="7D5BEE3C" w14:textId="4E8A6EB3" w:rsidR="00F7796A" w:rsidRPr="00840976" w:rsidRDefault="005628EA" w:rsidP="00F7796A">
      <w:pPr>
        <w:pStyle w:val="ListeParagraf"/>
        <w:ind w:left="284"/>
        <w:contextualSpacing w:val="0"/>
        <w:jc w:val="both"/>
      </w:pPr>
      <w:r w:rsidRPr="00840976">
        <w:rPr>
          <w:rFonts w:cs="Times New Roman"/>
          <w:b/>
          <w:bCs/>
          <w:szCs w:val="24"/>
        </w:rPr>
        <w:t xml:space="preserve">Madde </w:t>
      </w:r>
      <w:r w:rsidR="0030272B" w:rsidRPr="00840976">
        <w:rPr>
          <w:rFonts w:cs="Times New Roman"/>
          <w:b/>
          <w:bCs/>
          <w:szCs w:val="24"/>
        </w:rPr>
        <w:t>2</w:t>
      </w:r>
      <w:r w:rsidR="00606AA6">
        <w:rPr>
          <w:rFonts w:cs="Times New Roman"/>
          <w:b/>
          <w:bCs/>
          <w:szCs w:val="24"/>
        </w:rPr>
        <w:t>6</w:t>
      </w:r>
      <w:r w:rsidR="0030272B">
        <w:rPr>
          <w:rFonts w:cs="Times New Roman"/>
          <w:b/>
          <w:bCs/>
          <w:szCs w:val="24"/>
        </w:rPr>
        <w:t>-</w:t>
      </w:r>
      <w:r w:rsidRPr="00840976">
        <w:rPr>
          <w:rFonts w:cs="Times New Roman"/>
          <w:b/>
          <w:bCs/>
          <w:szCs w:val="24"/>
        </w:rPr>
        <w:t xml:space="preserve"> </w:t>
      </w:r>
      <w:proofErr w:type="spellStart"/>
      <w:r w:rsidR="00991945">
        <w:t>Müşâreke</w:t>
      </w:r>
      <w:proofErr w:type="spellEnd"/>
      <w:r w:rsidR="00991945" w:rsidRPr="00840976">
        <w:t xml:space="preserve"> ortaklığı</w:t>
      </w:r>
      <w:r w:rsidR="00991945">
        <w:t>;</w:t>
      </w:r>
      <w:r w:rsidR="00991945" w:rsidRPr="00840976">
        <w:t xml:space="preserve"> sermayenin tümüyle kaybedilmesi veya yok olması</w:t>
      </w:r>
      <w:r w:rsidR="00991945">
        <w:t xml:space="preserve">, </w:t>
      </w:r>
      <w:r w:rsidR="00991945" w:rsidRPr="00840976">
        <w:t xml:space="preserve">sözleşmede bulunan bozucu şartın </w:t>
      </w:r>
      <w:r w:rsidR="00991945" w:rsidRPr="00DF3397">
        <w:rPr>
          <w:color w:val="000000" w:themeColor="text1"/>
        </w:rPr>
        <w:t>gerçekleşmesi</w:t>
      </w:r>
      <w:r w:rsidR="00991945">
        <w:rPr>
          <w:color w:val="000000" w:themeColor="text1"/>
        </w:rPr>
        <w:t>,</w:t>
      </w:r>
      <w:r w:rsidR="00991945" w:rsidRPr="00DF3397">
        <w:rPr>
          <w:color w:val="000000" w:themeColor="text1"/>
        </w:rPr>
        <w:t xml:space="preserve"> sözleşmede belirli bir süre kaydı varsa bu sürenin dolması</w:t>
      </w:r>
      <w:r w:rsidR="00991945">
        <w:rPr>
          <w:color w:val="000000" w:themeColor="text1"/>
        </w:rPr>
        <w:t>,</w:t>
      </w:r>
      <w:r w:rsidR="00991945" w:rsidRPr="00DF3397">
        <w:rPr>
          <w:rFonts w:asciiTheme="majorBidi" w:hAnsiTheme="majorBidi" w:cstheme="majorBidi"/>
          <w:color w:val="000000" w:themeColor="text1"/>
          <w:szCs w:val="24"/>
        </w:rPr>
        <w:t xml:space="preserve"> ortaklığın amacının gerçekleşmesi ya da gerçekleşmesinin imkânsız hale gelmesi</w:t>
      </w:r>
      <w:r w:rsidR="00991945">
        <w:rPr>
          <w:rFonts w:asciiTheme="majorBidi" w:hAnsiTheme="majorBidi" w:cstheme="majorBidi"/>
          <w:color w:val="000000" w:themeColor="text1"/>
          <w:szCs w:val="24"/>
        </w:rPr>
        <w:t xml:space="preserve">, </w:t>
      </w:r>
      <w:r w:rsidR="00991945" w:rsidRPr="00577AF9">
        <w:rPr>
          <w:rFonts w:cs="Times New Roman"/>
          <w:szCs w:val="24"/>
        </w:rPr>
        <w:t>tüzel kişi ortak ya da ortakların tüzel kişiliklerini kaybetmesi sonucunda geriye tek ortağın kalması halinde</w:t>
      </w:r>
      <w:r w:rsidR="00991945">
        <w:rPr>
          <w:rFonts w:cs="Times New Roman"/>
          <w:szCs w:val="24"/>
        </w:rPr>
        <w:t xml:space="preserve"> </w:t>
      </w:r>
      <w:r w:rsidR="00991945" w:rsidRPr="00DF3397">
        <w:rPr>
          <w:rFonts w:asciiTheme="majorBidi" w:hAnsiTheme="majorBidi" w:cstheme="majorBidi"/>
          <w:color w:val="000000" w:themeColor="text1"/>
          <w:szCs w:val="24"/>
        </w:rPr>
        <w:t xml:space="preserve">kendiliğinden </w:t>
      </w:r>
      <w:r w:rsidR="00991945" w:rsidRPr="00DF3397">
        <w:rPr>
          <w:color w:val="000000" w:themeColor="text1"/>
        </w:rPr>
        <w:t>sona erer.</w:t>
      </w:r>
    </w:p>
    <w:p w14:paraId="1245D2A6" w14:textId="7BE2014C" w:rsidR="003A42AC" w:rsidRPr="00840976" w:rsidRDefault="003A42AC" w:rsidP="008C64E9">
      <w:pPr>
        <w:pStyle w:val="Balk2"/>
        <w:ind w:left="284"/>
      </w:pPr>
      <w:bookmarkStart w:id="40" w:name="_Toc170257369"/>
      <w:r w:rsidRPr="00840976">
        <w:t>Ölüm ve Fiil Ehliyetinin Kaybının Ortaklığa Etkisi</w:t>
      </w:r>
      <w:bookmarkEnd w:id="40"/>
    </w:p>
    <w:p w14:paraId="6889328D" w14:textId="55B9E9CF" w:rsidR="008D3309" w:rsidRPr="00840976" w:rsidRDefault="005628EA" w:rsidP="005628EA">
      <w:pPr>
        <w:pStyle w:val="ListeParagraf"/>
        <w:ind w:left="284"/>
        <w:contextualSpacing w:val="0"/>
        <w:jc w:val="both"/>
      </w:pPr>
      <w:r w:rsidRPr="00840976">
        <w:rPr>
          <w:rFonts w:cs="Times New Roman"/>
          <w:b/>
          <w:bCs/>
          <w:szCs w:val="24"/>
        </w:rPr>
        <w:t xml:space="preserve">Madde </w:t>
      </w:r>
      <w:r w:rsidR="0030272B" w:rsidRPr="00840976">
        <w:rPr>
          <w:rFonts w:cs="Times New Roman"/>
          <w:b/>
          <w:bCs/>
          <w:szCs w:val="24"/>
        </w:rPr>
        <w:t>2</w:t>
      </w:r>
      <w:r w:rsidR="00606AA6">
        <w:rPr>
          <w:rFonts w:cs="Times New Roman"/>
          <w:b/>
          <w:bCs/>
          <w:szCs w:val="24"/>
        </w:rPr>
        <w:t>7</w:t>
      </w:r>
      <w:r w:rsidR="0030272B" w:rsidRPr="00840976">
        <w:rPr>
          <w:rFonts w:cs="Times New Roman"/>
          <w:b/>
          <w:bCs/>
          <w:szCs w:val="24"/>
        </w:rPr>
        <w:t>-</w:t>
      </w:r>
      <w:r w:rsidRPr="00840976">
        <w:rPr>
          <w:rFonts w:cs="Times New Roman"/>
          <w:b/>
          <w:bCs/>
          <w:szCs w:val="24"/>
        </w:rPr>
        <w:t xml:space="preserve"> </w:t>
      </w:r>
      <w:r w:rsidR="003A42AC" w:rsidRPr="00840976">
        <w:t xml:space="preserve">Ortaklardan birisinin ölümü veya fiil ehliyetini kaybetmesi halinde ölen ortağın varislerinin veya fiil ehliyetini kaybeden ortağa atanacak kanuni temsilcinin istemesi ve diğer ortakların kabul etmeleri durumunda ortaklık devam eder. Varislerin veya kanuni temsilcinin istememesi ya da ortakların kabul etmemesi durumunda ise iki ortaklı </w:t>
      </w:r>
      <w:proofErr w:type="spellStart"/>
      <w:r w:rsidR="00156F57">
        <w:t>müşâreke</w:t>
      </w:r>
      <w:proofErr w:type="spellEnd"/>
      <w:r w:rsidR="003A42AC" w:rsidRPr="00840976">
        <w:t xml:space="preserve"> sona erer; çok ortaklı </w:t>
      </w:r>
      <w:proofErr w:type="spellStart"/>
      <w:r w:rsidR="00156F57">
        <w:t>müşâreke</w:t>
      </w:r>
      <w:proofErr w:type="spellEnd"/>
      <w:r w:rsidR="003A42AC" w:rsidRPr="00840976">
        <w:t xml:space="preserve"> kalan ortaklarla devam eder. </w:t>
      </w:r>
    </w:p>
    <w:p w14:paraId="6A2EBBC9" w14:textId="77777777" w:rsidR="008D3309" w:rsidRPr="00840976" w:rsidRDefault="008D3309" w:rsidP="008C64E9">
      <w:pPr>
        <w:pStyle w:val="Balk2"/>
        <w:ind w:left="284"/>
      </w:pPr>
      <w:bookmarkStart w:id="41" w:name="_Toc170257370"/>
      <w:r w:rsidRPr="00840976">
        <w:t>Ortaklığın Fesih Bildirimi ile Sona Ermesi</w:t>
      </w:r>
      <w:bookmarkEnd w:id="41"/>
    </w:p>
    <w:p w14:paraId="64E96E06" w14:textId="4EBEDFE0" w:rsidR="008D3309" w:rsidRPr="00840976" w:rsidRDefault="005628EA" w:rsidP="005628EA">
      <w:pPr>
        <w:pStyle w:val="ListeParagraf"/>
        <w:ind w:left="284"/>
        <w:contextualSpacing w:val="0"/>
        <w:jc w:val="both"/>
      </w:pPr>
      <w:r w:rsidRPr="00840976">
        <w:rPr>
          <w:rFonts w:cs="Times New Roman"/>
          <w:b/>
          <w:bCs/>
          <w:szCs w:val="24"/>
        </w:rPr>
        <w:t xml:space="preserve">Madde </w:t>
      </w:r>
      <w:r w:rsidR="000E7A25" w:rsidRPr="00840976">
        <w:rPr>
          <w:rFonts w:cs="Times New Roman"/>
          <w:b/>
          <w:bCs/>
          <w:szCs w:val="24"/>
        </w:rPr>
        <w:t>2</w:t>
      </w:r>
      <w:r w:rsidR="00606AA6">
        <w:rPr>
          <w:rFonts w:cs="Times New Roman"/>
          <w:b/>
          <w:bCs/>
          <w:szCs w:val="24"/>
        </w:rPr>
        <w:t>8</w:t>
      </w:r>
      <w:r w:rsidR="000E7A25" w:rsidRPr="00840976">
        <w:rPr>
          <w:rFonts w:cs="Times New Roman"/>
          <w:b/>
          <w:bCs/>
          <w:szCs w:val="24"/>
        </w:rPr>
        <w:t>-</w:t>
      </w:r>
      <w:r w:rsidRPr="00840976">
        <w:rPr>
          <w:rFonts w:cs="Times New Roman"/>
          <w:b/>
          <w:bCs/>
          <w:szCs w:val="24"/>
        </w:rPr>
        <w:t xml:space="preserve"> </w:t>
      </w:r>
      <w:r w:rsidR="00991945">
        <w:t xml:space="preserve">İki ortaklı </w:t>
      </w:r>
      <w:proofErr w:type="spellStart"/>
      <w:r w:rsidR="00991945">
        <w:t>müş</w:t>
      </w:r>
      <w:r w:rsidR="00532690">
        <w:t>â</w:t>
      </w:r>
      <w:r w:rsidR="00991945">
        <w:t>rekede</w:t>
      </w:r>
      <w:proofErr w:type="spellEnd"/>
      <w:r w:rsidR="00991945">
        <w:t xml:space="preserve"> o</w:t>
      </w:r>
      <w:r w:rsidR="00AE65B2">
        <w:t>rtak</w:t>
      </w:r>
      <w:r w:rsidR="008D3309" w:rsidRPr="00840976">
        <w:t xml:space="preserve">lardan her biri dilediği zaman </w:t>
      </w:r>
      <w:proofErr w:type="spellStart"/>
      <w:r w:rsidR="00156F57">
        <w:t>müşâreke</w:t>
      </w:r>
      <w:r w:rsidR="008D3309" w:rsidRPr="00840976">
        <w:t>yi</w:t>
      </w:r>
      <w:proofErr w:type="spellEnd"/>
      <w:r w:rsidR="008D3309" w:rsidRPr="00840976">
        <w:t xml:space="preserve"> feshedebilir. Sözleşmeyi fesheden </w:t>
      </w:r>
      <w:r w:rsidR="00AE65B2">
        <w:t>ortak</w:t>
      </w:r>
      <w:r w:rsidR="00AE65B2" w:rsidRPr="00840976">
        <w:t xml:space="preserve"> </w:t>
      </w:r>
      <w:r w:rsidR="008D3309" w:rsidRPr="00840976">
        <w:t>diğer</w:t>
      </w:r>
      <w:r w:rsidR="00AE65B2">
        <w:t xml:space="preserve"> ortakların</w:t>
      </w:r>
      <w:r w:rsidR="008D3309" w:rsidRPr="00840976">
        <w:t xml:space="preserve"> fesih sebebiyle uğradığı fiilî zararları karşılamakla yükümlüdür. </w:t>
      </w:r>
      <w:r w:rsidR="00976412">
        <w:t>Ortak</w:t>
      </w:r>
      <w:r w:rsidR="008D3309" w:rsidRPr="00840976">
        <w:t xml:space="preserve">lardan birinin </w:t>
      </w:r>
      <w:r w:rsidR="0056577F">
        <w:t>kusuru bulunması veya</w:t>
      </w:r>
      <w:r w:rsidR="008D3309" w:rsidRPr="00840976">
        <w:t xml:space="preserve"> </w:t>
      </w:r>
      <w:r w:rsidR="008D3309" w:rsidRPr="00840976">
        <w:lastRenderedPageBreak/>
        <w:t xml:space="preserve">sözleşmeye açıkça aykırı davranması durumunda, bu gerekçelerle sözleşmeyi fesheden </w:t>
      </w:r>
      <w:r w:rsidR="00976412">
        <w:t>ortak</w:t>
      </w:r>
      <w:r w:rsidR="00976412" w:rsidRPr="00840976">
        <w:t xml:space="preserve"> </w:t>
      </w:r>
      <w:r w:rsidR="008D3309" w:rsidRPr="00840976">
        <w:t xml:space="preserve">açısından zararı tazmin borcu yoktur. Uğradığı zararları talep etme hakkı ise saklıdır. </w:t>
      </w:r>
      <w:r w:rsidR="00991945" w:rsidRPr="0089132A">
        <w:t xml:space="preserve">Ortak sayısının ikiden fazla olduğu </w:t>
      </w:r>
      <w:proofErr w:type="spellStart"/>
      <w:r w:rsidR="00991945" w:rsidRPr="0089132A">
        <w:t>müşârekede</w:t>
      </w:r>
      <w:proofErr w:type="spellEnd"/>
      <w:r w:rsidR="00991945" w:rsidRPr="0089132A">
        <w:t>, bir ortağın fesih bildirimi ortaklığı sona erdirmez</w:t>
      </w:r>
      <w:r w:rsidR="00991945">
        <w:t>.</w:t>
      </w:r>
    </w:p>
    <w:p w14:paraId="2685A796" w14:textId="429F2F7C" w:rsidR="004E4AB8" w:rsidRPr="00840976" w:rsidRDefault="004E4AB8" w:rsidP="008C64E9">
      <w:pPr>
        <w:pStyle w:val="Balk2"/>
        <w:ind w:left="284"/>
      </w:pPr>
      <w:bookmarkStart w:id="42" w:name="_Toc170257371"/>
      <w:r w:rsidRPr="00840976">
        <w:t>Tasfiye</w:t>
      </w:r>
      <w:bookmarkEnd w:id="42"/>
    </w:p>
    <w:p w14:paraId="3044C90F" w14:textId="47CE1D0F" w:rsidR="00D93CCA" w:rsidRPr="00840976" w:rsidRDefault="005628EA" w:rsidP="005628EA">
      <w:pPr>
        <w:pStyle w:val="ListeParagraf"/>
        <w:ind w:left="284"/>
        <w:contextualSpacing w:val="0"/>
        <w:jc w:val="both"/>
      </w:pPr>
      <w:r w:rsidRPr="00840976">
        <w:rPr>
          <w:rFonts w:cs="Times New Roman"/>
          <w:b/>
          <w:bCs/>
          <w:szCs w:val="24"/>
        </w:rPr>
        <w:t xml:space="preserve">Madde </w:t>
      </w:r>
      <w:r w:rsidR="000E7A25" w:rsidRPr="00840976">
        <w:rPr>
          <w:rFonts w:cs="Times New Roman"/>
          <w:b/>
          <w:bCs/>
          <w:szCs w:val="24"/>
        </w:rPr>
        <w:t>2</w:t>
      </w:r>
      <w:r w:rsidR="00606AA6">
        <w:rPr>
          <w:rFonts w:cs="Times New Roman"/>
          <w:b/>
          <w:bCs/>
          <w:szCs w:val="24"/>
        </w:rPr>
        <w:t>9</w:t>
      </w:r>
      <w:r w:rsidR="000E7A25">
        <w:rPr>
          <w:rFonts w:cs="Times New Roman"/>
          <w:b/>
          <w:bCs/>
          <w:szCs w:val="24"/>
        </w:rPr>
        <w:t>-</w:t>
      </w:r>
      <w:r w:rsidR="00661B22">
        <w:rPr>
          <w:rFonts w:cs="Times New Roman"/>
          <w:b/>
          <w:bCs/>
          <w:szCs w:val="24"/>
        </w:rPr>
        <w:t xml:space="preserve"> </w:t>
      </w:r>
      <w:r w:rsidR="0006107B" w:rsidRPr="00840976">
        <w:t>Ortaklığın tasfiyesi</w:t>
      </w:r>
      <w:r w:rsidR="002E46F2" w:rsidRPr="00840976">
        <w:t>;</w:t>
      </w:r>
      <w:r w:rsidR="0006107B" w:rsidRPr="00840976">
        <w:t xml:space="preserve"> nakd</w:t>
      </w:r>
      <w:r w:rsidR="009C7EE6">
        <w:t>î</w:t>
      </w:r>
      <w:r w:rsidR="0006107B" w:rsidRPr="00840976">
        <w:t xml:space="preserve"> varlıkların paylaşımı</w:t>
      </w:r>
      <w:r w:rsidR="002E46F2" w:rsidRPr="00840976">
        <w:t>,</w:t>
      </w:r>
      <w:r w:rsidR="0006107B" w:rsidRPr="00840976">
        <w:t xml:space="preserve"> </w:t>
      </w:r>
      <w:r w:rsidR="000B2925" w:rsidRPr="00840976">
        <w:t>ayn</w:t>
      </w:r>
      <w:r w:rsidR="000B2925">
        <w:t>î</w:t>
      </w:r>
      <w:r w:rsidR="000B2925" w:rsidRPr="00840976">
        <w:t xml:space="preserve"> </w:t>
      </w:r>
      <w:r w:rsidR="0006107B" w:rsidRPr="00840976">
        <w:t xml:space="preserve">varlıkların </w:t>
      </w:r>
      <w:r w:rsidR="002E46F2" w:rsidRPr="00840976">
        <w:t>fiil</w:t>
      </w:r>
      <w:r w:rsidR="009C7EE6">
        <w:t>î</w:t>
      </w:r>
      <w:r w:rsidR="002E46F2" w:rsidRPr="00840976">
        <w:t xml:space="preserve"> olarak satımı </w:t>
      </w:r>
      <w:r w:rsidR="002A18D3" w:rsidRPr="00840976">
        <w:t>suretiyle</w:t>
      </w:r>
      <w:r w:rsidR="00F000BF" w:rsidRPr="00840976">
        <w:t xml:space="preserve"> yapılacak</w:t>
      </w:r>
      <w:r w:rsidR="002A18D3" w:rsidRPr="00840976">
        <w:t xml:space="preserve"> </w:t>
      </w:r>
      <w:r w:rsidR="002E46F2" w:rsidRPr="00840976">
        <w:t xml:space="preserve">gerçek tasfiye veya bunların gerçeğe uygun </w:t>
      </w:r>
      <w:r w:rsidR="00835875" w:rsidRPr="00840976">
        <w:t xml:space="preserve">piyasa </w:t>
      </w:r>
      <w:r w:rsidR="002E46F2" w:rsidRPr="00840976">
        <w:t>değerinin tespit edil</w:t>
      </w:r>
      <w:r w:rsidR="008108A6" w:rsidRPr="00840976">
        <w:t xml:space="preserve">erek paylaşımı </w:t>
      </w:r>
      <w:r w:rsidR="002A18D3" w:rsidRPr="00840976">
        <w:t xml:space="preserve">suretiyle </w:t>
      </w:r>
      <w:r w:rsidR="00F000BF" w:rsidRPr="00840976">
        <w:t xml:space="preserve">yapılacak </w:t>
      </w:r>
      <w:r w:rsidR="008108A6" w:rsidRPr="00840976">
        <w:t xml:space="preserve">hükmî tasfiye yoluyla </w:t>
      </w:r>
      <w:r w:rsidR="00B8730B">
        <w:t>olabilir</w:t>
      </w:r>
      <w:r w:rsidR="002E46F2" w:rsidRPr="00840976">
        <w:t>.</w:t>
      </w:r>
    </w:p>
    <w:p w14:paraId="0459F845" w14:textId="0A963008" w:rsidR="00D93CCA" w:rsidRPr="00840976" w:rsidRDefault="00D93CCA" w:rsidP="00D93CCA">
      <w:r w:rsidRPr="00840976">
        <w:br w:type="page"/>
      </w:r>
    </w:p>
    <w:p w14:paraId="4FE2DB7B" w14:textId="6BD9A97D" w:rsidR="00D93CCA" w:rsidRPr="00840976" w:rsidRDefault="00622D91" w:rsidP="00622D91">
      <w:pPr>
        <w:keepNext/>
        <w:keepLines/>
        <w:spacing w:before="240" w:after="240"/>
        <w:ind w:firstLine="227"/>
        <w:jc w:val="center"/>
        <w:outlineLvl w:val="0"/>
        <w:rPr>
          <w:rFonts w:eastAsia="Times New Roman" w:cs="Times New Roman"/>
          <w:b/>
          <w:szCs w:val="32"/>
        </w:rPr>
      </w:pPr>
      <w:r>
        <w:rPr>
          <w:rFonts w:eastAsia="Times New Roman" w:cs="Times New Roman"/>
          <w:b/>
          <w:szCs w:val="32"/>
        </w:rPr>
        <w:lastRenderedPageBreak/>
        <w:t>GEREKÇELER</w:t>
      </w:r>
    </w:p>
    <w:p w14:paraId="4D0ADFD7" w14:textId="2EDA8469" w:rsidR="00D93CCA" w:rsidRPr="00DF3397" w:rsidRDefault="00156F57" w:rsidP="00DF3397">
      <w:pPr>
        <w:pStyle w:val="ListeParagraf"/>
        <w:keepNext/>
        <w:keepLines/>
        <w:numPr>
          <w:ilvl w:val="0"/>
          <w:numId w:val="27"/>
        </w:numPr>
        <w:spacing w:before="240" w:after="240"/>
        <w:outlineLvl w:val="0"/>
        <w:rPr>
          <w:rFonts w:eastAsia="Times New Roman" w:cs="Times New Roman"/>
          <w:b/>
          <w:szCs w:val="32"/>
        </w:rPr>
      </w:pPr>
      <w:bookmarkStart w:id="43" w:name="_Toc170257373"/>
      <w:proofErr w:type="spellStart"/>
      <w:r w:rsidRPr="00DF3397">
        <w:rPr>
          <w:rFonts w:eastAsia="Times New Roman" w:cs="Times New Roman"/>
          <w:b/>
          <w:szCs w:val="32"/>
        </w:rPr>
        <w:t>Müşâreke</w:t>
      </w:r>
      <w:proofErr w:type="spellEnd"/>
      <w:r w:rsidR="00515937" w:rsidRPr="00DF3397">
        <w:rPr>
          <w:rFonts w:eastAsia="Times New Roman" w:cs="Times New Roman"/>
          <w:b/>
          <w:szCs w:val="32"/>
        </w:rPr>
        <w:t xml:space="preserve"> </w:t>
      </w:r>
      <w:r w:rsidR="001E44BA" w:rsidRPr="00DF3397">
        <w:rPr>
          <w:rFonts w:eastAsia="Times New Roman" w:cs="Times New Roman"/>
          <w:b/>
          <w:szCs w:val="32"/>
        </w:rPr>
        <w:t xml:space="preserve">Sözleşmesi ve </w:t>
      </w:r>
      <w:r w:rsidR="00D93CCA" w:rsidRPr="00DF3397">
        <w:rPr>
          <w:rFonts w:eastAsia="Times New Roman" w:cs="Times New Roman"/>
          <w:b/>
          <w:szCs w:val="32"/>
        </w:rPr>
        <w:t>Tanımı</w:t>
      </w:r>
      <w:r w:rsidR="00515937" w:rsidRPr="00DF3397">
        <w:rPr>
          <w:rFonts w:eastAsia="Times New Roman" w:cs="Times New Roman"/>
          <w:b/>
          <w:szCs w:val="32"/>
        </w:rPr>
        <w:t>nın Gerekçeleri</w:t>
      </w:r>
      <w:bookmarkEnd w:id="43"/>
    </w:p>
    <w:p w14:paraId="06628F0F" w14:textId="4A98E0BF" w:rsidR="00D93CCA" w:rsidRPr="00840976" w:rsidRDefault="00D93CCA" w:rsidP="00F04A3E">
      <w:pPr>
        <w:jc w:val="both"/>
        <w:rPr>
          <w:rFonts w:eastAsia="Calibri" w:cs="Times New Roman"/>
          <w:szCs w:val="24"/>
        </w:rPr>
      </w:pPr>
      <w:r w:rsidRPr="00840976">
        <w:rPr>
          <w:rFonts w:eastAsia="Calibri" w:cs="Times New Roman"/>
          <w:szCs w:val="24"/>
        </w:rPr>
        <w:t xml:space="preserve">Sözlükte; ortaklık yapmak, katılmak, paylaşmak anlamlarına gelen </w:t>
      </w:r>
      <w:proofErr w:type="spellStart"/>
      <w:r w:rsidR="00156F57">
        <w:rPr>
          <w:rFonts w:eastAsia="Calibri" w:cs="Times New Roman"/>
          <w:szCs w:val="24"/>
        </w:rPr>
        <w:t>müşâreke</w:t>
      </w:r>
      <w:proofErr w:type="spellEnd"/>
      <w:r w:rsidRPr="00840976">
        <w:rPr>
          <w:rFonts w:eastAsia="Calibri" w:cs="Times New Roman"/>
          <w:szCs w:val="24"/>
        </w:rPr>
        <w:t xml:space="preserve"> kelimesi, klasik fıkıh literatüründe daha çok sözlük anlamıyla kullanılmakta</w:t>
      </w:r>
      <w:r w:rsidR="00826AA0" w:rsidRPr="00840976">
        <w:rPr>
          <w:rFonts w:eastAsia="Calibri" w:cs="Times New Roman"/>
          <w:szCs w:val="24"/>
        </w:rPr>
        <w:t>,</w:t>
      </w:r>
      <w:r w:rsidRPr="00840976">
        <w:rPr>
          <w:rFonts w:eastAsia="Calibri" w:cs="Times New Roman"/>
          <w:szCs w:val="24"/>
        </w:rPr>
        <w:t xml:space="preserve"> belirli bir ortaklık tipini ifade etmemektedir.</w:t>
      </w:r>
      <w:r w:rsidR="00F04A3E" w:rsidRPr="00840976">
        <w:rPr>
          <w:rFonts w:eastAsia="Calibri" w:cs="Times New Roman"/>
          <w:szCs w:val="24"/>
        </w:rPr>
        <w:t xml:space="preserve"> </w:t>
      </w:r>
      <w:r w:rsidRPr="00840976">
        <w:rPr>
          <w:rFonts w:eastAsia="Calibri" w:cs="Times New Roman"/>
          <w:szCs w:val="24"/>
        </w:rPr>
        <w:t xml:space="preserve">Günümüz İslam hukukçuları </w:t>
      </w:r>
      <w:proofErr w:type="spellStart"/>
      <w:r w:rsidR="00156F57">
        <w:rPr>
          <w:rFonts w:eastAsia="Calibri" w:cs="Times New Roman"/>
          <w:szCs w:val="24"/>
        </w:rPr>
        <w:t>müşâreke</w:t>
      </w:r>
      <w:r w:rsidRPr="00840976">
        <w:rPr>
          <w:rFonts w:eastAsia="Calibri" w:cs="Times New Roman"/>
          <w:szCs w:val="24"/>
        </w:rPr>
        <w:t>yi</w:t>
      </w:r>
      <w:proofErr w:type="spellEnd"/>
      <w:r w:rsidRPr="00840976">
        <w:rPr>
          <w:rFonts w:eastAsia="Calibri" w:cs="Times New Roman"/>
          <w:szCs w:val="24"/>
        </w:rPr>
        <w:t xml:space="preserve"> </w:t>
      </w:r>
      <w:r w:rsidR="00A16546">
        <w:rPr>
          <w:rFonts w:eastAsia="Calibri" w:cs="Times New Roman"/>
          <w:szCs w:val="24"/>
        </w:rPr>
        <w:t xml:space="preserve">katılım finansı işlemlerinde </w:t>
      </w:r>
      <w:r w:rsidR="00F04A3E" w:rsidRPr="00840976">
        <w:rPr>
          <w:rFonts w:eastAsia="Calibri" w:cs="Times New Roman"/>
          <w:szCs w:val="24"/>
        </w:rPr>
        <w:t xml:space="preserve">özellikle </w:t>
      </w:r>
      <w:proofErr w:type="spellStart"/>
      <w:r w:rsidR="00826AA0" w:rsidRPr="00840976">
        <w:rPr>
          <w:rFonts w:eastAsia="Calibri" w:cs="Times New Roman"/>
          <w:szCs w:val="24"/>
        </w:rPr>
        <w:t>in</w:t>
      </w:r>
      <w:r w:rsidR="00757285">
        <w:rPr>
          <w:rFonts w:eastAsia="Calibri" w:cs="Times New Roman"/>
          <w:szCs w:val="24"/>
        </w:rPr>
        <w:t>â</w:t>
      </w:r>
      <w:r w:rsidR="00826AA0" w:rsidRPr="00840976">
        <w:rPr>
          <w:rFonts w:eastAsia="Calibri" w:cs="Times New Roman"/>
          <w:szCs w:val="24"/>
        </w:rPr>
        <w:t>n</w:t>
      </w:r>
      <w:proofErr w:type="spellEnd"/>
      <w:r w:rsidR="00826AA0" w:rsidRPr="00840976">
        <w:rPr>
          <w:rFonts w:eastAsia="Calibri" w:cs="Times New Roman"/>
          <w:szCs w:val="24"/>
        </w:rPr>
        <w:t xml:space="preserve"> türündeki </w:t>
      </w:r>
      <w:r w:rsidR="00AF7A8A" w:rsidRPr="00840976">
        <w:rPr>
          <w:rFonts w:eastAsia="Calibri" w:cs="Times New Roman"/>
          <w:szCs w:val="24"/>
        </w:rPr>
        <w:t xml:space="preserve">bir akit şirketi olan </w:t>
      </w:r>
      <w:r w:rsidR="00F04A3E" w:rsidRPr="00840976">
        <w:rPr>
          <w:rFonts w:eastAsia="Calibri" w:cs="Times New Roman"/>
          <w:szCs w:val="24"/>
        </w:rPr>
        <w:t>“</w:t>
      </w:r>
      <w:r w:rsidRPr="00840976">
        <w:rPr>
          <w:rFonts w:eastAsia="Calibri" w:cs="Times New Roman"/>
          <w:szCs w:val="24"/>
        </w:rPr>
        <w:t>sermaye şirketi</w:t>
      </w:r>
      <w:r w:rsidR="00F04A3E" w:rsidRPr="00840976">
        <w:rPr>
          <w:rFonts w:eastAsia="Calibri" w:cs="Times New Roman"/>
          <w:szCs w:val="24"/>
        </w:rPr>
        <w:t xml:space="preserve"> (şirket-i </w:t>
      </w:r>
      <w:proofErr w:type="spellStart"/>
      <w:r w:rsidR="00F04A3E" w:rsidRPr="00840976">
        <w:rPr>
          <w:rFonts w:eastAsia="Calibri" w:cs="Times New Roman"/>
          <w:szCs w:val="24"/>
        </w:rPr>
        <w:t>emvâl</w:t>
      </w:r>
      <w:proofErr w:type="spellEnd"/>
      <w:r w:rsidR="00F04A3E" w:rsidRPr="00840976">
        <w:rPr>
          <w:rFonts w:eastAsia="Calibri" w:cs="Times New Roman"/>
          <w:szCs w:val="24"/>
        </w:rPr>
        <w:t>)” anlamında kullanmakta</w:t>
      </w:r>
      <w:r w:rsidR="00AF7A8A" w:rsidRPr="00840976">
        <w:rPr>
          <w:rFonts w:eastAsia="Calibri" w:cs="Times New Roman"/>
          <w:szCs w:val="24"/>
        </w:rPr>
        <w:t xml:space="preserve"> ve zaman zaman</w:t>
      </w:r>
      <w:r w:rsidRPr="00840976">
        <w:rPr>
          <w:rFonts w:eastAsia="Calibri" w:cs="Times New Roman"/>
          <w:szCs w:val="24"/>
        </w:rPr>
        <w:t xml:space="preserve"> </w:t>
      </w:r>
      <w:r w:rsidR="00F04A3E" w:rsidRPr="00840976">
        <w:rPr>
          <w:rFonts w:eastAsia="Calibri" w:cs="Times New Roman"/>
          <w:szCs w:val="24"/>
        </w:rPr>
        <w:t>“</w:t>
      </w:r>
      <w:r w:rsidRPr="00840976">
        <w:rPr>
          <w:rFonts w:eastAsia="Calibri" w:cs="Times New Roman"/>
          <w:szCs w:val="24"/>
        </w:rPr>
        <w:t>kâr-zarar ortaklığı</w:t>
      </w:r>
      <w:r w:rsidR="00F04A3E" w:rsidRPr="00840976">
        <w:rPr>
          <w:rFonts w:eastAsia="Calibri" w:cs="Times New Roman"/>
          <w:szCs w:val="24"/>
        </w:rPr>
        <w:t>”</w:t>
      </w:r>
      <w:r w:rsidRPr="00840976">
        <w:rPr>
          <w:rFonts w:eastAsia="Calibri" w:cs="Times New Roman"/>
          <w:szCs w:val="24"/>
        </w:rPr>
        <w:t xml:space="preserve"> şeklinde de ifade </w:t>
      </w:r>
      <w:r w:rsidR="00AF7A8A" w:rsidRPr="00840976">
        <w:rPr>
          <w:rFonts w:eastAsia="Calibri" w:cs="Times New Roman"/>
          <w:szCs w:val="24"/>
        </w:rPr>
        <w:t>etmektedir</w:t>
      </w:r>
      <w:r w:rsidRPr="00840976">
        <w:rPr>
          <w:rFonts w:eastAsia="Calibri" w:cs="Times New Roman"/>
          <w:szCs w:val="24"/>
        </w:rPr>
        <w:t xml:space="preserve">. </w:t>
      </w:r>
    </w:p>
    <w:p w14:paraId="0E16E6AD" w14:textId="33D13473" w:rsidR="00D93CCA" w:rsidRPr="00DF3397" w:rsidRDefault="00156F57" w:rsidP="00DF3397">
      <w:pPr>
        <w:pStyle w:val="ListeParagraf"/>
        <w:keepNext/>
        <w:keepLines/>
        <w:numPr>
          <w:ilvl w:val="0"/>
          <w:numId w:val="27"/>
        </w:numPr>
        <w:spacing w:before="240" w:after="240"/>
        <w:outlineLvl w:val="0"/>
        <w:rPr>
          <w:rFonts w:eastAsia="Times New Roman" w:cs="Times New Roman"/>
          <w:b/>
          <w:szCs w:val="32"/>
        </w:rPr>
      </w:pPr>
      <w:bookmarkStart w:id="44" w:name="_Toc170257374"/>
      <w:proofErr w:type="spellStart"/>
      <w:r w:rsidRPr="00DF3397">
        <w:rPr>
          <w:rFonts w:eastAsia="Times New Roman" w:cs="Times New Roman"/>
          <w:b/>
          <w:szCs w:val="32"/>
        </w:rPr>
        <w:t>Müşâreke</w:t>
      </w:r>
      <w:proofErr w:type="spellEnd"/>
      <w:r w:rsidR="00D93CCA" w:rsidRPr="00DF3397">
        <w:rPr>
          <w:rFonts w:eastAsia="Times New Roman" w:cs="Times New Roman"/>
          <w:b/>
          <w:szCs w:val="32"/>
        </w:rPr>
        <w:t xml:space="preserve"> ile İlgili Genel Hükümlerin Gerekçeleri</w:t>
      </w:r>
      <w:bookmarkEnd w:id="44"/>
    </w:p>
    <w:p w14:paraId="1F9C457B" w14:textId="50085A1F" w:rsidR="00D93CCA" w:rsidRDefault="00156F57" w:rsidP="00D93CCA">
      <w:pPr>
        <w:jc w:val="both"/>
        <w:rPr>
          <w:rFonts w:eastAsia="Calibri" w:cs="Times New Roman"/>
          <w:szCs w:val="24"/>
        </w:rPr>
      </w:pPr>
      <w:proofErr w:type="spellStart"/>
      <w:r>
        <w:rPr>
          <w:rFonts w:eastAsia="Calibri" w:cs="Times New Roman"/>
          <w:szCs w:val="24"/>
        </w:rPr>
        <w:t>Müşâreke</w:t>
      </w:r>
      <w:proofErr w:type="spellEnd"/>
      <w:r w:rsidR="00D93CCA" w:rsidRPr="00840976">
        <w:rPr>
          <w:rFonts w:eastAsia="Calibri" w:cs="Times New Roman"/>
          <w:szCs w:val="24"/>
        </w:rPr>
        <w:t xml:space="preserve">, ticari amaçla sermayelerin birleştirildiği bir ortaklık sözleşmesidir. </w:t>
      </w:r>
      <w:r w:rsidR="00976412">
        <w:rPr>
          <w:rFonts w:eastAsia="Calibri" w:cs="Times New Roman"/>
          <w:szCs w:val="24"/>
        </w:rPr>
        <w:t>Ortak</w:t>
      </w:r>
      <w:r w:rsidR="00D93CCA" w:rsidRPr="00840976">
        <w:rPr>
          <w:rFonts w:eastAsia="Calibri" w:cs="Times New Roman"/>
          <w:szCs w:val="24"/>
        </w:rPr>
        <w:t>lardan her biri diğer</w:t>
      </w:r>
      <w:r w:rsidR="00976412">
        <w:rPr>
          <w:rFonts w:eastAsia="Calibri" w:cs="Times New Roman"/>
          <w:szCs w:val="24"/>
        </w:rPr>
        <w:t>leri</w:t>
      </w:r>
      <w:r w:rsidR="00D93CCA" w:rsidRPr="00840976">
        <w:rPr>
          <w:rFonts w:eastAsia="Calibri" w:cs="Times New Roman"/>
          <w:szCs w:val="24"/>
        </w:rPr>
        <w:t xml:space="preserve"> adına hareket etme ve </w:t>
      </w:r>
      <w:r w:rsidR="009C7EE6">
        <w:rPr>
          <w:rFonts w:eastAsia="Calibri" w:cs="Times New Roman"/>
          <w:szCs w:val="24"/>
        </w:rPr>
        <w:t>hukukî</w:t>
      </w:r>
      <w:r w:rsidR="00D93CCA" w:rsidRPr="00840976">
        <w:rPr>
          <w:rFonts w:eastAsia="Calibri" w:cs="Times New Roman"/>
          <w:szCs w:val="24"/>
        </w:rPr>
        <w:t xml:space="preserve"> işlem yapma yetkisini bu sözleşme ile elde etmekte, bu işlemlerden kaynaklanan hakların kazanılması ile oluşan borçlardan ve zarardan sorumluluk da yine bu sözleşme ile gerçekleşmektedir. Bir kişi,</w:t>
      </w:r>
      <w:r w:rsidR="00650E55">
        <w:rPr>
          <w:rFonts w:eastAsia="Calibri" w:cs="Times New Roman"/>
          <w:szCs w:val="24"/>
        </w:rPr>
        <w:t xml:space="preserve"> kural olarak</w:t>
      </w:r>
      <w:r w:rsidR="00D93CCA" w:rsidRPr="00840976">
        <w:rPr>
          <w:rFonts w:eastAsia="Calibri" w:cs="Times New Roman"/>
          <w:szCs w:val="24"/>
        </w:rPr>
        <w:t xml:space="preserve"> rızası olmadıkça başka bir kişinin malına sahip olamayacağı gibi onu hak sahibi kılamaz ya da borç altına sokamaz. </w:t>
      </w:r>
      <w:proofErr w:type="spellStart"/>
      <w:r w:rsidR="00D93CCA" w:rsidRPr="00840976">
        <w:rPr>
          <w:rFonts w:eastAsia="Calibri" w:cs="Times New Roman"/>
          <w:szCs w:val="24"/>
        </w:rPr>
        <w:t>Kur’ân</w:t>
      </w:r>
      <w:proofErr w:type="spellEnd"/>
      <w:r w:rsidR="00D93CCA" w:rsidRPr="00840976">
        <w:rPr>
          <w:rFonts w:eastAsia="Calibri" w:cs="Times New Roman"/>
          <w:szCs w:val="24"/>
        </w:rPr>
        <w:t>-ı Kerîm’de “</w:t>
      </w:r>
      <w:r w:rsidR="00D93CCA" w:rsidRPr="00840976">
        <w:rPr>
          <w:rFonts w:eastAsia="Calibri" w:cs="Times New Roman"/>
          <w:i/>
          <w:iCs/>
          <w:szCs w:val="24"/>
        </w:rPr>
        <w:t>Ey iman edenler! Mallarınızı aranızda haksızlıkla yemeyin; ancak karşılıklı rızanıza dayanan ticaret böyle değildir</w:t>
      </w:r>
      <w:r w:rsidR="00D93CCA" w:rsidRPr="00840976">
        <w:rPr>
          <w:rFonts w:eastAsia="Calibri" w:cs="Times New Roman"/>
          <w:szCs w:val="24"/>
        </w:rPr>
        <w:t>”</w:t>
      </w:r>
      <w:r w:rsidR="000E7A25">
        <w:rPr>
          <w:rFonts w:eastAsia="Calibri" w:cs="Times New Roman"/>
          <w:szCs w:val="24"/>
        </w:rPr>
        <w:t xml:space="preserve"> (Nisâ, 4/29)</w:t>
      </w:r>
      <w:r w:rsidR="00D93CCA" w:rsidRPr="00840976">
        <w:rPr>
          <w:rFonts w:eastAsia="Calibri" w:cs="Times New Roman"/>
          <w:szCs w:val="24"/>
        </w:rPr>
        <w:t xml:space="preserve"> buyrularak bir başkasının malı üzerinde hak sahibi olabilmenin ya da tasarrufta bulunabilmenin meşruiyetinin o kişinin rızasının alınmasına bağlı olduğu açıkça ifade edilmiştir. Bundan dolayı İslam hukukçuları, hukukî işlemlerin varlık kazanmasında rızayı temel ölçü kabul etmişlerdir. Rız</w:t>
      </w:r>
      <w:r w:rsidR="000E7A25">
        <w:rPr>
          <w:rFonts w:eastAsia="Calibri" w:cs="Times New Roman"/>
          <w:szCs w:val="24"/>
        </w:rPr>
        <w:t>a,</w:t>
      </w:r>
      <w:r w:rsidR="00D93CCA" w:rsidRPr="00840976">
        <w:rPr>
          <w:rFonts w:eastAsia="Calibri" w:cs="Times New Roman"/>
          <w:szCs w:val="24"/>
        </w:rPr>
        <w:t xml:space="preserve"> içte gerçekleşen </w:t>
      </w:r>
      <w:r w:rsidR="00650E55">
        <w:rPr>
          <w:rFonts w:eastAsia="Calibri" w:cs="Times New Roman"/>
          <w:szCs w:val="24"/>
        </w:rPr>
        <w:t xml:space="preserve">gizli </w:t>
      </w:r>
      <w:r w:rsidR="00D93CCA" w:rsidRPr="00840976">
        <w:rPr>
          <w:rFonts w:eastAsia="Calibri" w:cs="Times New Roman"/>
          <w:szCs w:val="24"/>
        </w:rPr>
        <w:t xml:space="preserve">bir durumdur. Açıklanmadıkça başkaları tarafından bilinmesi ve hukukî hayata etki etmesi mümkün değildir. Rızayı ortaya koyan </w:t>
      </w:r>
      <w:r w:rsidR="00650E55">
        <w:rPr>
          <w:rFonts w:eastAsia="Calibri" w:cs="Times New Roman"/>
          <w:szCs w:val="24"/>
        </w:rPr>
        <w:t>somut</w:t>
      </w:r>
      <w:r w:rsidR="00650E55" w:rsidRPr="00840976">
        <w:rPr>
          <w:rFonts w:eastAsia="Calibri" w:cs="Times New Roman"/>
          <w:szCs w:val="24"/>
        </w:rPr>
        <w:t xml:space="preserve"> </w:t>
      </w:r>
      <w:r w:rsidR="00650E55">
        <w:rPr>
          <w:rFonts w:eastAsia="Calibri" w:cs="Times New Roman"/>
          <w:szCs w:val="24"/>
        </w:rPr>
        <w:t>gösterge</w:t>
      </w:r>
      <w:r w:rsidR="00650E55" w:rsidRPr="00840976">
        <w:rPr>
          <w:rFonts w:eastAsia="Calibri" w:cs="Times New Roman"/>
          <w:szCs w:val="24"/>
        </w:rPr>
        <w:t xml:space="preserve"> </w:t>
      </w:r>
      <w:r w:rsidR="00D93CCA" w:rsidRPr="00840976">
        <w:rPr>
          <w:rFonts w:eastAsia="Calibri" w:cs="Times New Roman"/>
          <w:szCs w:val="24"/>
        </w:rPr>
        <w:t xml:space="preserve">tarafların </w:t>
      </w:r>
      <w:r w:rsidR="009C7EE6">
        <w:rPr>
          <w:rFonts w:eastAsia="Calibri" w:cs="Times New Roman"/>
          <w:szCs w:val="24"/>
        </w:rPr>
        <w:t>hukukî</w:t>
      </w:r>
      <w:r w:rsidR="00D93CCA" w:rsidRPr="00840976">
        <w:rPr>
          <w:rFonts w:eastAsia="Calibri" w:cs="Times New Roman"/>
          <w:szCs w:val="24"/>
        </w:rPr>
        <w:t xml:space="preserve"> işleme razı olduklarını </w:t>
      </w:r>
      <w:r w:rsidR="00650E55">
        <w:rPr>
          <w:rFonts w:eastAsia="Calibri" w:cs="Times New Roman"/>
          <w:szCs w:val="24"/>
        </w:rPr>
        <w:t>bildiren</w:t>
      </w:r>
      <w:r w:rsidR="00650E55" w:rsidRPr="00840976">
        <w:rPr>
          <w:rFonts w:eastAsia="Calibri" w:cs="Times New Roman"/>
          <w:szCs w:val="24"/>
        </w:rPr>
        <w:t xml:space="preserve"> </w:t>
      </w:r>
      <w:r w:rsidR="00D93CCA" w:rsidRPr="00840976">
        <w:rPr>
          <w:rFonts w:eastAsia="Calibri" w:cs="Times New Roman"/>
          <w:szCs w:val="24"/>
        </w:rPr>
        <w:t xml:space="preserve">bir beyanda bulunmalarıdır. Beyan, </w:t>
      </w:r>
      <w:bookmarkStart w:id="45" w:name="_Hlk164257960"/>
      <w:r w:rsidR="00D93CCA" w:rsidRPr="00840976">
        <w:rPr>
          <w:rFonts w:eastAsia="Calibri" w:cs="Times New Roman"/>
          <w:szCs w:val="24"/>
        </w:rPr>
        <w:t xml:space="preserve">bozucu herhangi bir durumun olmaması </w:t>
      </w:r>
      <w:bookmarkEnd w:id="45"/>
      <w:r w:rsidR="00AF1AAC">
        <w:rPr>
          <w:rFonts w:eastAsia="Calibri" w:cs="Times New Roman"/>
          <w:szCs w:val="24"/>
        </w:rPr>
        <w:t>şartıyla</w:t>
      </w:r>
      <w:r w:rsidR="00AF1AAC" w:rsidRPr="00840976">
        <w:rPr>
          <w:rFonts w:eastAsia="Calibri" w:cs="Times New Roman"/>
          <w:szCs w:val="24"/>
        </w:rPr>
        <w:t xml:space="preserve"> </w:t>
      </w:r>
      <w:r w:rsidR="00D93CCA" w:rsidRPr="00840976">
        <w:rPr>
          <w:rFonts w:eastAsia="Calibri" w:cs="Times New Roman"/>
          <w:szCs w:val="24"/>
        </w:rPr>
        <w:t xml:space="preserve">rızanın varlığının en </w:t>
      </w:r>
      <w:r w:rsidR="00650E55">
        <w:rPr>
          <w:rFonts w:eastAsia="Calibri" w:cs="Times New Roman"/>
          <w:szCs w:val="24"/>
        </w:rPr>
        <w:t>somut göstergesi</w:t>
      </w:r>
      <w:r w:rsidR="00D93CCA" w:rsidRPr="00840976">
        <w:rPr>
          <w:rFonts w:eastAsia="Calibri" w:cs="Times New Roman"/>
          <w:szCs w:val="24"/>
        </w:rPr>
        <w:t xml:space="preserve"> olduğu için bütün İslam hukukçuları tarafından </w:t>
      </w:r>
      <w:r w:rsidR="009C7EE6">
        <w:rPr>
          <w:rFonts w:eastAsia="Calibri" w:cs="Times New Roman"/>
          <w:szCs w:val="24"/>
        </w:rPr>
        <w:t>hukukî</w:t>
      </w:r>
      <w:r w:rsidR="00D93CCA" w:rsidRPr="00840976">
        <w:rPr>
          <w:rFonts w:eastAsia="Calibri" w:cs="Times New Roman"/>
          <w:szCs w:val="24"/>
        </w:rPr>
        <w:t xml:space="preserve"> işlemlerde temel kurucu unsur kabul edilmiştir. Tek taraflı </w:t>
      </w:r>
      <w:r w:rsidR="009C7EE6">
        <w:rPr>
          <w:rFonts w:eastAsia="Calibri" w:cs="Times New Roman"/>
          <w:szCs w:val="24"/>
        </w:rPr>
        <w:t>hukukî</w:t>
      </w:r>
      <w:r w:rsidR="00D93CCA" w:rsidRPr="00840976">
        <w:rPr>
          <w:rFonts w:eastAsia="Calibri" w:cs="Times New Roman"/>
          <w:szCs w:val="24"/>
        </w:rPr>
        <w:t xml:space="preserve"> işlemlerde tek kişinin irade beyanı yeterli iken, iki veya çok taraflı işlemlerde tarafların hepsinin birbirine uygun irade beyanında bulunmuş olması gerekir.</w:t>
      </w:r>
      <w:r w:rsidR="00AF7A8A" w:rsidRPr="00840976">
        <w:rPr>
          <w:rFonts w:eastAsia="Calibri" w:cs="Times New Roman"/>
          <w:szCs w:val="24"/>
        </w:rPr>
        <w:t xml:space="preserve"> </w:t>
      </w:r>
      <w:proofErr w:type="spellStart"/>
      <w:r w:rsidR="00D93CCA" w:rsidRPr="00913E84">
        <w:rPr>
          <w:rFonts w:eastAsia="Calibri" w:cs="Times New Roman"/>
          <w:szCs w:val="24"/>
        </w:rPr>
        <w:t>Mecelle’de</w:t>
      </w:r>
      <w:proofErr w:type="spellEnd"/>
      <w:r w:rsidR="00D93CCA" w:rsidRPr="00840976">
        <w:rPr>
          <w:rFonts w:eastAsia="Calibri" w:cs="Times New Roman"/>
          <w:szCs w:val="24"/>
        </w:rPr>
        <w:t xml:space="preserve"> bu husus; “</w:t>
      </w:r>
      <w:r w:rsidR="00D93CCA" w:rsidRPr="00840976">
        <w:rPr>
          <w:rFonts w:eastAsia="Calibri" w:cs="Times New Roman"/>
          <w:i/>
          <w:iCs/>
          <w:szCs w:val="24"/>
        </w:rPr>
        <w:t>Şirket-i akdin rüknü, lafzen yahut manen icap kabuldür</w:t>
      </w:r>
      <w:r w:rsidR="00D93CCA" w:rsidRPr="00840976">
        <w:rPr>
          <w:rFonts w:eastAsia="Calibri" w:cs="Times New Roman"/>
          <w:szCs w:val="24"/>
        </w:rPr>
        <w:t>”</w:t>
      </w:r>
      <w:r w:rsidR="000E7A25" w:rsidRPr="000E7A25">
        <w:rPr>
          <w:rFonts w:eastAsia="Calibri" w:cs="Times New Roman"/>
          <w:szCs w:val="24"/>
        </w:rPr>
        <w:t xml:space="preserve"> </w:t>
      </w:r>
      <w:r w:rsidR="000E7A25" w:rsidRPr="00840976">
        <w:rPr>
          <w:rFonts w:eastAsia="Calibri" w:cs="Times New Roman"/>
          <w:szCs w:val="24"/>
        </w:rPr>
        <w:t>(</w:t>
      </w:r>
      <w:proofErr w:type="spellStart"/>
      <w:r w:rsidR="00C150BE">
        <w:rPr>
          <w:rFonts w:eastAsia="Calibri" w:cs="Times New Roman"/>
          <w:szCs w:val="24"/>
        </w:rPr>
        <w:t>md.</w:t>
      </w:r>
      <w:proofErr w:type="spellEnd"/>
      <w:r w:rsidR="000E7A25" w:rsidRPr="00840976">
        <w:rPr>
          <w:rFonts w:eastAsia="Calibri" w:cs="Times New Roman"/>
          <w:szCs w:val="24"/>
        </w:rPr>
        <w:t xml:space="preserve"> 1330)</w:t>
      </w:r>
      <w:r w:rsidR="00D93CCA" w:rsidRPr="00840976">
        <w:rPr>
          <w:rFonts w:eastAsia="Calibri" w:cs="Times New Roman"/>
          <w:szCs w:val="24"/>
        </w:rPr>
        <w:t xml:space="preserve"> şeklinde ifade edilmiştir</w:t>
      </w:r>
      <w:r w:rsidR="000E7A25">
        <w:rPr>
          <w:rFonts w:eastAsia="Calibri" w:cs="Times New Roman"/>
          <w:szCs w:val="24"/>
        </w:rPr>
        <w:t>.</w:t>
      </w:r>
    </w:p>
    <w:p w14:paraId="2E4D858B" w14:textId="07D97945" w:rsidR="00C150BE" w:rsidRDefault="00156F57" w:rsidP="00C150BE">
      <w:pPr>
        <w:jc w:val="both"/>
        <w:rPr>
          <w:rFonts w:eastAsia="Calibri" w:cs="Times New Roman"/>
          <w:szCs w:val="24"/>
        </w:rPr>
      </w:pPr>
      <w:proofErr w:type="spellStart"/>
      <w:r>
        <w:rPr>
          <w:rFonts w:eastAsia="Calibri" w:cs="Times New Roman"/>
          <w:szCs w:val="24"/>
        </w:rPr>
        <w:t>Müşâreke</w:t>
      </w:r>
      <w:r w:rsidR="00C150BE">
        <w:rPr>
          <w:rFonts w:eastAsia="Calibri" w:cs="Times New Roman"/>
          <w:szCs w:val="24"/>
        </w:rPr>
        <w:t>de</w:t>
      </w:r>
      <w:proofErr w:type="spellEnd"/>
      <w:r w:rsidR="00C150BE">
        <w:rPr>
          <w:rFonts w:eastAsia="Calibri" w:cs="Times New Roman"/>
          <w:szCs w:val="24"/>
        </w:rPr>
        <w:t xml:space="preserve"> ortaklardan her birinin kâr ya da zarar getirici faaliyetleri, diğer ortakların da kâr veya zarar etmesine sebebiyet vereceğinden, ortaklar arası ilişki vekalet temeline dayanır.</w:t>
      </w:r>
    </w:p>
    <w:p w14:paraId="3F930342" w14:textId="089C46A4" w:rsidR="00D93CCA" w:rsidRPr="00840976" w:rsidRDefault="00D93CCA" w:rsidP="00C150BE">
      <w:pPr>
        <w:jc w:val="both"/>
        <w:rPr>
          <w:rFonts w:eastAsia="Calibri" w:cs="Times New Roman"/>
          <w:szCs w:val="24"/>
        </w:rPr>
      </w:pPr>
      <w:r w:rsidRPr="00840976">
        <w:rPr>
          <w:rFonts w:eastAsia="Calibri" w:cs="Times New Roman"/>
          <w:szCs w:val="24"/>
        </w:rPr>
        <w:t xml:space="preserve">Kişi, hak sahibi olabilen ve borç altına girebilen varlıkları ifade eden bir kavramdır. Fiil ehliyetini haiz gerçek kişiler gibi tüzel kişiler de </w:t>
      </w:r>
      <w:r w:rsidR="009C7EE6">
        <w:rPr>
          <w:rFonts w:eastAsia="Calibri" w:cs="Times New Roman"/>
          <w:szCs w:val="24"/>
        </w:rPr>
        <w:t>hukukî</w:t>
      </w:r>
      <w:r w:rsidRPr="00840976">
        <w:rPr>
          <w:rFonts w:eastAsia="Calibri" w:cs="Times New Roman"/>
          <w:szCs w:val="24"/>
        </w:rPr>
        <w:t xml:space="preserve"> işlemler yapabilmekte, hak sahibi olup borç altına girebilmektedirler. Dolayısıyla tüzel kişiler de gerçek kişiler gibi </w:t>
      </w:r>
      <w:proofErr w:type="spellStart"/>
      <w:r w:rsidR="00156F57">
        <w:rPr>
          <w:rFonts w:eastAsia="Calibri" w:cs="Times New Roman"/>
          <w:szCs w:val="24"/>
        </w:rPr>
        <w:t>müşâreke</w:t>
      </w:r>
      <w:proofErr w:type="spellEnd"/>
      <w:r w:rsidRPr="00840976">
        <w:rPr>
          <w:rFonts w:eastAsia="Calibri" w:cs="Times New Roman"/>
          <w:szCs w:val="24"/>
        </w:rPr>
        <w:t xml:space="preserve"> sözleşmesinin tarafı olabilirler.</w:t>
      </w:r>
      <w:r w:rsidR="00775457">
        <w:rPr>
          <w:rFonts w:eastAsia="Calibri" w:cs="Times New Roman"/>
          <w:szCs w:val="24"/>
        </w:rPr>
        <w:t xml:space="preserve"> İlgili mevzuat tarafından </w:t>
      </w:r>
      <w:r w:rsidR="00F16DE9">
        <w:rPr>
          <w:rFonts w:eastAsia="Calibri" w:cs="Times New Roman"/>
          <w:szCs w:val="24"/>
        </w:rPr>
        <w:t xml:space="preserve">belirli </w:t>
      </w:r>
      <w:r w:rsidR="006569D3">
        <w:rPr>
          <w:rFonts w:eastAsia="Calibri" w:cs="Times New Roman"/>
          <w:szCs w:val="24"/>
        </w:rPr>
        <w:t>işlemleri yapma konusunda</w:t>
      </w:r>
      <w:r w:rsidR="00F16DE9">
        <w:rPr>
          <w:rFonts w:eastAsia="Calibri" w:cs="Times New Roman"/>
          <w:szCs w:val="24"/>
        </w:rPr>
        <w:t xml:space="preserve"> </w:t>
      </w:r>
      <w:r w:rsidR="00A848EC">
        <w:rPr>
          <w:rFonts w:eastAsia="Calibri" w:cs="Times New Roman"/>
          <w:szCs w:val="24"/>
        </w:rPr>
        <w:t xml:space="preserve">sınırlı </w:t>
      </w:r>
      <w:r w:rsidR="00775457">
        <w:rPr>
          <w:rFonts w:eastAsia="Calibri" w:cs="Times New Roman"/>
          <w:szCs w:val="24"/>
        </w:rPr>
        <w:t>tüzel kişiliği haiz olduğu kabul edilen fonlar</w:t>
      </w:r>
      <w:r w:rsidR="00F16DE9">
        <w:rPr>
          <w:rFonts w:eastAsia="Calibri" w:cs="Times New Roman"/>
          <w:szCs w:val="24"/>
        </w:rPr>
        <w:t>, havuzlar</w:t>
      </w:r>
      <w:r w:rsidR="00775457">
        <w:rPr>
          <w:rFonts w:eastAsia="Calibri" w:cs="Times New Roman"/>
          <w:szCs w:val="24"/>
        </w:rPr>
        <w:t xml:space="preserve"> ve </w:t>
      </w:r>
      <w:r w:rsidR="00F16DE9">
        <w:rPr>
          <w:rFonts w:eastAsia="Calibri" w:cs="Times New Roman"/>
          <w:szCs w:val="24"/>
        </w:rPr>
        <w:t xml:space="preserve">benzeri </w:t>
      </w:r>
      <w:r w:rsidR="00775457">
        <w:rPr>
          <w:rFonts w:eastAsia="Calibri" w:cs="Times New Roman"/>
          <w:szCs w:val="24"/>
        </w:rPr>
        <w:t xml:space="preserve">mal toplulukları da </w:t>
      </w:r>
      <w:r w:rsidR="00F16DE9">
        <w:rPr>
          <w:rFonts w:eastAsia="Calibri" w:cs="Times New Roman"/>
          <w:szCs w:val="24"/>
        </w:rPr>
        <w:t xml:space="preserve">sözleşmeye taraf </w:t>
      </w:r>
      <w:r w:rsidR="001456AC">
        <w:rPr>
          <w:rFonts w:eastAsia="Calibri" w:cs="Times New Roman"/>
          <w:szCs w:val="24"/>
        </w:rPr>
        <w:t>olabilirler.</w:t>
      </w:r>
    </w:p>
    <w:p w14:paraId="05F0C9E1" w14:textId="2E651030" w:rsidR="00D93CCA" w:rsidRPr="00840976" w:rsidRDefault="00156F57" w:rsidP="00D93CCA">
      <w:pPr>
        <w:jc w:val="both"/>
        <w:rPr>
          <w:rFonts w:eastAsia="Calibri" w:cs="Times New Roman"/>
          <w:szCs w:val="24"/>
        </w:rPr>
      </w:pPr>
      <w:proofErr w:type="spellStart"/>
      <w:r>
        <w:rPr>
          <w:rFonts w:eastAsia="Calibri" w:cs="Times New Roman"/>
          <w:szCs w:val="24"/>
        </w:rPr>
        <w:t>Müşâreke</w:t>
      </w:r>
      <w:proofErr w:type="spellEnd"/>
      <w:r w:rsidR="00D93CCA" w:rsidRPr="00840976">
        <w:rPr>
          <w:rFonts w:eastAsia="Calibri" w:cs="Times New Roman"/>
          <w:szCs w:val="24"/>
        </w:rPr>
        <w:t xml:space="preserve"> sözleşmesi belli bir süre tayin edilerek kurulabilir. Ortakların aksi yönde bir kararı bulunmadığı tak</w:t>
      </w:r>
      <w:r w:rsidR="00757285">
        <w:rPr>
          <w:rFonts w:eastAsia="Calibri" w:cs="Times New Roman"/>
          <w:szCs w:val="24"/>
        </w:rPr>
        <w:t>d</w:t>
      </w:r>
      <w:r w:rsidR="00D93CCA" w:rsidRPr="00840976">
        <w:rPr>
          <w:rFonts w:eastAsia="Calibri" w:cs="Times New Roman"/>
          <w:szCs w:val="24"/>
        </w:rPr>
        <w:t xml:space="preserve">irde sürenin dolmasıyla birlikte akit sona erer. </w:t>
      </w:r>
      <w:proofErr w:type="spellStart"/>
      <w:r>
        <w:rPr>
          <w:rFonts w:eastAsia="Calibri" w:cs="Times New Roman"/>
          <w:szCs w:val="24"/>
        </w:rPr>
        <w:t>Müşâreke</w:t>
      </w:r>
      <w:proofErr w:type="spellEnd"/>
      <w:r w:rsidR="00D93CCA" w:rsidRPr="00840976">
        <w:rPr>
          <w:rFonts w:eastAsia="Calibri" w:cs="Times New Roman"/>
          <w:szCs w:val="24"/>
        </w:rPr>
        <w:t xml:space="preserve"> sözleşmesi belirli bir süre belirtilmeden de kurulabilir.  Süre zikredilmeden kurulan bir </w:t>
      </w:r>
      <w:proofErr w:type="spellStart"/>
      <w:r>
        <w:rPr>
          <w:rFonts w:eastAsia="Calibri" w:cs="Times New Roman"/>
          <w:szCs w:val="24"/>
        </w:rPr>
        <w:t>müşâreke</w:t>
      </w:r>
      <w:proofErr w:type="spellEnd"/>
      <w:r w:rsidR="00D93CCA" w:rsidRPr="00840976">
        <w:rPr>
          <w:rFonts w:eastAsia="Calibri" w:cs="Times New Roman"/>
          <w:szCs w:val="24"/>
        </w:rPr>
        <w:t xml:space="preserve"> sözleşmesinde, ortaklardan her biri dilediği zaman ortaklıktan ayrılmayı talep </w:t>
      </w:r>
      <w:r w:rsidR="00D93CCA" w:rsidRPr="00840976">
        <w:rPr>
          <w:rFonts w:eastAsia="Calibri" w:cs="Times New Roman"/>
          <w:szCs w:val="24"/>
        </w:rPr>
        <w:lastRenderedPageBreak/>
        <w:t>edebilir. Zira İslam hukukuna göre şirket akdi bağlayıcı olmayan (gayri l</w:t>
      </w:r>
      <w:r w:rsidR="00D83183">
        <w:rPr>
          <w:rFonts w:eastAsia="Calibri" w:cs="Times New Roman"/>
          <w:szCs w:val="24"/>
        </w:rPr>
        <w:t>â</w:t>
      </w:r>
      <w:r w:rsidR="00D93CCA" w:rsidRPr="00840976">
        <w:rPr>
          <w:rFonts w:eastAsia="Calibri" w:cs="Times New Roman"/>
          <w:szCs w:val="24"/>
        </w:rPr>
        <w:t>zım) bir akit olduğundan ortaklar istedikleri zaman sözleşmeyi feshetme hakkına sahiptir.</w:t>
      </w:r>
    </w:p>
    <w:p w14:paraId="017D7A7C" w14:textId="26B4CA2D" w:rsidR="00D93CCA" w:rsidRDefault="00D93CCA" w:rsidP="00D93CCA">
      <w:pPr>
        <w:jc w:val="both"/>
        <w:rPr>
          <w:rFonts w:eastAsia="Calibri" w:cs="Times New Roman"/>
          <w:szCs w:val="24"/>
        </w:rPr>
      </w:pPr>
      <w:r w:rsidRPr="00840976">
        <w:rPr>
          <w:rFonts w:eastAsia="Calibri" w:cs="Times New Roman"/>
          <w:szCs w:val="24"/>
        </w:rPr>
        <w:t xml:space="preserve">Ticari ve finansal işlemlere dair hususlarda katılım finansı ilke ve standartlarına aykırı olmadıkça taraflar, üzerinde mutabık kaldıkları her türlü şartı </w:t>
      </w:r>
      <w:proofErr w:type="spellStart"/>
      <w:r w:rsidR="00156F57">
        <w:rPr>
          <w:rFonts w:eastAsia="Calibri" w:cs="Times New Roman"/>
          <w:szCs w:val="24"/>
        </w:rPr>
        <w:t>müşâreke</w:t>
      </w:r>
      <w:proofErr w:type="spellEnd"/>
      <w:r w:rsidRPr="00840976">
        <w:rPr>
          <w:rFonts w:eastAsia="Calibri" w:cs="Times New Roman"/>
          <w:szCs w:val="24"/>
        </w:rPr>
        <w:t xml:space="preserve"> sözleşmesine ekleyebilirler. Zira İslam hukukunda var olan akit serbestisi ilkesi, tarafların kendi rıza ve iradeleriyle akdin konusunu, muhtevasını ve şartlarını tayin etmelerine imkân tanımaktadır. Bu sebeple katılım finansı ilke ve standartlarına aykırılık teşkil etmediği sürece ortakların sözleşmede karşılıklı rıza ile belirledikleri bu şartlara uymaları gerekir. Nitekim </w:t>
      </w:r>
      <w:r w:rsidRPr="006952BB">
        <w:rPr>
          <w:rFonts w:eastAsia="Calibri" w:cs="Times New Roman"/>
          <w:i/>
          <w:iCs/>
          <w:szCs w:val="24"/>
        </w:rPr>
        <w:t>“Müslümanlar kendi aralarında belirledikleri şartlara uyarlar”</w:t>
      </w:r>
      <w:r w:rsidRPr="00840976">
        <w:rPr>
          <w:rFonts w:eastAsia="Calibri" w:cs="Times New Roman"/>
          <w:szCs w:val="24"/>
        </w:rPr>
        <w:t xml:space="preserve"> (Buhârî, “</w:t>
      </w:r>
      <w:proofErr w:type="spellStart"/>
      <w:r w:rsidRPr="00840976">
        <w:rPr>
          <w:rFonts w:eastAsia="Calibri" w:cs="Times New Roman"/>
          <w:szCs w:val="24"/>
        </w:rPr>
        <w:t>İcâre</w:t>
      </w:r>
      <w:proofErr w:type="spellEnd"/>
      <w:r w:rsidRPr="00840976">
        <w:rPr>
          <w:rFonts w:eastAsia="Calibri" w:cs="Times New Roman"/>
          <w:szCs w:val="24"/>
        </w:rPr>
        <w:t xml:space="preserve">”, 14) ve </w:t>
      </w:r>
      <w:r w:rsidRPr="006952BB">
        <w:rPr>
          <w:rFonts w:eastAsia="Calibri" w:cs="Times New Roman"/>
          <w:i/>
          <w:iCs/>
          <w:szCs w:val="24"/>
        </w:rPr>
        <w:t>“Bir helali haram kılan veya bir haramı helal kılan sulh dışında Müslümanlar arasında sulh câizdir”</w:t>
      </w:r>
      <w:r w:rsidRPr="00840976">
        <w:rPr>
          <w:rFonts w:eastAsia="Calibri" w:cs="Times New Roman"/>
          <w:szCs w:val="24"/>
        </w:rPr>
        <w:t xml:space="preserve"> (Ebû D</w:t>
      </w:r>
      <w:r w:rsidR="00913E84">
        <w:rPr>
          <w:rFonts w:eastAsia="Calibri" w:cs="Times New Roman"/>
          <w:szCs w:val="24"/>
        </w:rPr>
        <w:t>â</w:t>
      </w:r>
      <w:r w:rsidRPr="00840976">
        <w:rPr>
          <w:rFonts w:eastAsia="Calibri" w:cs="Times New Roman"/>
          <w:szCs w:val="24"/>
        </w:rPr>
        <w:t>v</w:t>
      </w:r>
      <w:r w:rsidR="00913E84">
        <w:rPr>
          <w:rFonts w:eastAsia="Calibri" w:cs="Times New Roman"/>
          <w:szCs w:val="24"/>
        </w:rPr>
        <w:t>û</w:t>
      </w:r>
      <w:r w:rsidRPr="00840976">
        <w:rPr>
          <w:rFonts w:eastAsia="Calibri" w:cs="Times New Roman"/>
          <w:szCs w:val="24"/>
        </w:rPr>
        <w:t>d, “</w:t>
      </w:r>
      <w:proofErr w:type="spellStart"/>
      <w:r w:rsidRPr="00840976">
        <w:rPr>
          <w:rFonts w:eastAsia="Calibri" w:cs="Times New Roman"/>
          <w:szCs w:val="24"/>
        </w:rPr>
        <w:t>Akdiye</w:t>
      </w:r>
      <w:proofErr w:type="spellEnd"/>
      <w:r w:rsidRPr="00840976">
        <w:rPr>
          <w:rFonts w:eastAsia="Calibri" w:cs="Times New Roman"/>
          <w:szCs w:val="24"/>
        </w:rPr>
        <w:t>”, 12; İbn Mâce, “Ahkâm”, 24) mealindeki hadis-i şerifler de bu tür durumlarda belirlenen şartlara uyulması gerektiğini göstermektedir.</w:t>
      </w:r>
    </w:p>
    <w:p w14:paraId="66F3A431" w14:textId="6B76403C" w:rsidR="00B50BC3" w:rsidRPr="00840976" w:rsidRDefault="00B50BC3" w:rsidP="00B50BC3">
      <w:pPr>
        <w:jc w:val="both"/>
        <w:rPr>
          <w:rFonts w:eastAsia="Calibri" w:cs="Times New Roman"/>
          <w:szCs w:val="24"/>
        </w:rPr>
      </w:pPr>
      <w:r>
        <w:rPr>
          <w:rFonts w:eastAsia="Calibri" w:cs="Times New Roman"/>
          <w:szCs w:val="24"/>
        </w:rPr>
        <w:t>H</w:t>
      </w:r>
      <w:r w:rsidRPr="00B50BC3">
        <w:rPr>
          <w:rFonts w:eastAsia="Calibri" w:cs="Times New Roman"/>
          <w:szCs w:val="24"/>
        </w:rPr>
        <w:t>er bir ortağın mülkiyet hakkını etkileyecek bir kararı</w:t>
      </w:r>
      <w:r>
        <w:rPr>
          <w:rFonts w:eastAsia="Calibri" w:cs="Times New Roman"/>
          <w:szCs w:val="24"/>
        </w:rPr>
        <w:t>n</w:t>
      </w:r>
      <w:r w:rsidRPr="00B50BC3">
        <w:rPr>
          <w:rFonts w:eastAsia="Calibri" w:cs="Times New Roman"/>
          <w:szCs w:val="24"/>
        </w:rPr>
        <w:t xml:space="preserve"> oybirliği ile al</w:t>
      </w:r>
      <w:r>
        <w:rPr>
          <w:rFonts w:eastAsia="Calibri" w:cs="Times New Roman"/>
          <w:szCs w:val="24"/>
        </w:rPr>
        <w:t>ınması</w:t>
      </w:r>
      <w:r w:rsidRPr="00B50BC3">
        <w:rPr>
          <w:rFonts w:eastAsia="Calibri" w:cs="Times New Roman"/>
          <w:szCs w:val="24"/>
        </w:rPr>
        <w:t xml:space="preserve"> </w:t>
      </w:r>
      <w:r>
        <w:rPr>
          <w:rFonts w:eastAsia="Calibri" w:cs="Times New Roman"/>
          <w:szCs w:val="24"/>
        </w:rPr>
        <w:t>ortaklığın bir gereğidir</w:t>
      </w:r>
      <w:r w:rsidRPr="00B50BC3">
        <w:rPr>
          <w:rFonts w:eastAsia="Calibri" w:cs="Times New Roman"/>
          <w:szCs w:val="24"/>
        </w:rPr>
        <w:t>.</w:t>
      </w:r>
      <w:r>
        <w:rPr>
          <w:rFonts w:eastAsia="Calibri" w:cs="Times New Roman"/>
          <w:szCs w:val="24"/>
        </w:rPr>
        <w:t xml:space="preserve"> Bu temel ilkenin yanında</w:t>
      </w:r>
      <w:r w:rsidRPr="00B50BC3">
        <w:rPr>
          <w:rFonts w:eastAsia="Calibri" w:cs="Times New Roman"/>
          <w:szCs w:val="24"/>
        </w:rPr>
        <w:t xml:space="preserve"> </w:t>
      </w:r>
      <w:proofErr w:type="spellStart"/>
      <w:r w:rsidRPr="00B50BC3">
        <w:rPr>
          <w:rFonts w:eastAsia="Calibri" w:cs="Times New Roman"/>
          <w:szCs w:val="24"/>
        </w:rPr>
        <w:t>müş</w:t>
      </w:r>
      <w:r w:rsidR="001454C2">
        <w:rPr>
          <w:rFonts w:eastAsia="Calibri" w:cs="Times New Roman"/>
          <w:szCs w:val="24"/>
        </w:rPr>
        <w:t>â</w:t>
      </w:r>
      <w:r w:rsidRPr="00B50BC3">
        <w:rPr>
          <w:rFonts w:eastAsia="Calibri" w:cs="Times New Roman"/>
          <w:szCs w:val="24"/>
        </w:rPr>
        <w:t>reke</w:t>
      </w:r>
      <w:r>
        <w:rPr>
          <w:rFonts w:eastAsia="Calibri" w:cs="Times New Roman"/>
          <w:szCs w:val="24"/>
        </w:rPr>
        <w:t>nin</w:t>
      </w:r>
      <w:proofErr w:type="spellEnd"/>
      <w:r w:rsidRPr="00B50BC3">
        <w:rPr>
          <w:rFonts w:eastAsia="Calibri" w:cs="Times New Roman"/>
          <w:szCs w:val="24"/>
        </w:rPr>
        <w:t xml:space="preserve">, her bir ortağın diğerlerini temsil etmesine ilişkin bir yetkiyi içermesi ve buna bağlı olarak her bir ortağa, ortaklık adına hak ve borç doğuran işlemler yapmasına imkân tanıması sebebiyle kararların oy çokluğu ile alınmasına engel bir durum </w:t>
      </w:r>
      <w:r>
        <w:rPr>
          <w:rFonts w:eastAsia="Calibri" w:cs="Times New Roman"/>
          <w:szCs w:val="24"/>
        </w:rPr>
        <w:t xml:space="preserve">da </w:t>
      </w:r>
      <w:r w:rsidRPr="00B50BC3">
        <w:rPr>
          <w:rFonts w:eastAsia="Calibri" w:cs="Times New Roman"/>
          <w:szCs w:val="24"/>
        </w:rPr>
        <w:t>yoktur. Bu noktada ortakların tümü, bu tür kararların oyçokluğu ile alınmasına rıza gösterdiği takdirde oybirliği zorunluluğu ortadan kalkar.</w:t>
      </w:r>
    </w:p>
    <w:p w14:paraId="45D08DEF" w14:textId="328B29FF" w:rsidR="00D93CCA" w:rsidRPr="00DF3397" w:rsidRDefault="00156F57" w:rsidP="00DF3397">
      <w:pPr>
        <w:pStyle w:val="ListeParagraf"/>
        <w:keepNext/>
        <w:keepLines/>
        <w:numPr>
          <w:ilvl w:val="0"/>
          <w:numId w:val="27"/>
        </w:numPr>
        <w:spacing w:before="240" w:after="240"/>
        <w:outlineLvl w:val="0"/>
        <w:rPr>
          <w:rFonts w:eastAsia="Times New Roman" w:cs="Times New Roman"/>
          <w:b/>
          <w:szCs w:val="32"/>
        </w:rPr>
      </w:pPr>
      <w:bookmarkStart w:id="46" w:name="_Toc170257375"/>
      <w:proofErr w:type="spellStart"/>
      <w:r w:rsidRPr="00DF3397">
        <w:rPr>
          <w:rFonts w:eastAsia="Times New Roman" w:cs="Times New Roman"/>
          <w:b/>
          <w:szCs w:val="32"/>
        </w:rPr>
        <w:t>Müşâreke</w:t>
      </w:r>
      <w:proofErr w:type="spellEnd"/>
      <w:r w:rsidR="00D93CCA" w:rsidRPr="00DF3397">
        <w:rPr>
          <w:rFonts w:eastAsia="Times New Roman" w:cs="Times New Roman"/>
          <w:b/>
          <w:szCs w:val="32"/>
        </w:rPr>
        <w:t xml:space="preserve"> Sermayesi ile İlgili Hükümlerin Gerekçeleri</w:t>
      </w:r>
      <w:bookmarkEnd w:id="46"/>
    </w:p>
    <w:p w14:paraId="6CE1EE14" w14:textId="0B2492FD" w:rsidR="00D93CCA" w:rsidRPr="00DF3397" w:rsidRDefault="00D93CCA" w:rsidP="00D93CCA">
      <w:pPr>
        <w:jc w:val="both"/>
        <w:rPr>
          <w:rFonts w:eastAsia="Calibri" w:cs="Times New Roman"/>
          <w:i/>
          <w:iCs/>
          <w:szCs w:val="24"/>
        </w:rPr>
      </w:pPr>
      <w:r w:rsidRPr="00840976">
        <w:rPr>
          <w:rFonts w:eastAsia="Calibri" w:cs="Times New Roman"/>
          <w:szCs w:val="24"/>
        </w:rPr>
        <w:t>Ortakların koydukları sermaye oranlarının ve ileride oluşabilecek kâr ya da zararın net olarak belirlenebilmesi için sermayenin cins ve miktar yönünden belirlenmiş para olması esastır. Nitekim fıkıh literatüründe bu tür sermaye ortaklıklarında para dışındaki bir varlığın</w:t>
      </w:r>
      <w:r w:rsidR="006A2103">
        <w:rPr>
          <w:rFonts w:eastAsia="Calibri" w:cs="Times New Roman"/>
          <w:szCs w:val="24"/>
        </w:rPr>
        <w:t xml:space="preserve"> veya değerin</w:t>
      </w:r>
      <w:r w:rsidRPr="00840976">
        <w:rPr>
          <w:rFonts w:eastAsia="Calibri" w:cs="Times New Roman"/>
          <w:szCs w:val="24"/>
        </w:rPr>
        <w:t xml:space="preserve"> sermaye yapılması, ortaklıktaki paylarda ve daha sonra kârın tespitinde bilinmezliğe yol açacağı için caiz görülmemiştir (</w:t>
      </w:r>
      <w:proofErr w:type="spellStart"/>
      <w:r w:rsidR="00C150BE" w:rsidRPr="00840976">
        <w:rPr>
          <w:rFonts w:eastAsia="Calibri" w:cs="Times New Roman"/>
          <w:szCs w:val="24"/>
        </w:rPr>
        <w:t>Serahsî</w:t>
      </w:r>
      <w:proofErr w:type="spellEnd"/>
      <w:r w:rsidR="00C150BE" w:rsidRPr="00840976">
        <w:rPr>
          <w:rFonts w:eastAsia="Calibri" w:cs="Times New Roman"/>
          <w:szCs w:val="24"/>
        </w:rPr>
        <w:t xml:space="preserve">, </w:t>
      </w:r>
      <w:r w:rsidR="00C150BE" w:rsidRPr="00840976">
        <w:rPr>
          <w:rFonts w:eastAsia="Calibri" w:cs="Times New Roman"/>
          <w:i/>
          <w:iCs/>
          <w:szCs w:val="24"/>
        </w:rPr>
        <w:t>el-</w:t>
      </w:r>
      <w:proofErr w:type="spellStart"/>
      <w:r w:rsidR="00C150BE" w:rsidRPr="00840976">
        <w:rPr>
          <w:rFonts w:eastAsia="Calibri" w:cs="Times New Roman"/>
          <w:i/>
          <w:iCs/>
          <w:szCs w:val="24"/>
        </w:rPr>
        <w:t>Mebsût</w:t>
      </w:r>
      <w:proofErr w:type="spellEnd"/>
      <w:r w:rsidR="00C150BE" w:rsidRPr="00840976">
        <w:rPr>
          <w:rFonts w:eastAsia="Calibri" w:cs="Times New Roman"/>
          <w:szCs w:val="24"/>
        </w:rPr>
        <w:t>,</w:t>
      </w:r>
      <w:r w:rsidR="00A639C7" w:rsidRPr="00A639C7">
        <w:rPr>
          <w:rFonts w:eastAsia="Calibri" w:cs="Times New Roman"/>
          <w:szCs w:val="24"/>
        </w:rPr>
        <w:t xml:space="preserve"> </w:t>
      </w:r>
      <w:r w:rsidR="00A639C7" w:rsidRPr="00840976">
        <w:rPr>
          <w:rFonts w:eastAsia="Calibri" w:cs="Times New Roman"/>
          <w:szCs w:val="24"/>
        </w:rPr>
        <w:t>Beyrut</w:t>
      </w:r>
      <w:r w:rsidR="00913E84">
        <w:rPr>
          <w:rFonts w:eastAsia="Calibri" w:cs="Times New Roman"/>
          <w:szCs w:val="24"/>
        </w:rPr>
        <w:t>,</w:t>
      </w:r>
      <w:r w:rsidR="00A639C7" w:rsidRPr="00840976">
        <w:rPr>
          <w:rFonts w:eastAsia="Calibri" w:cs="Times New Roman"/>
          <w:szCs w:val="24"/>
        </w:rPr>
        <w:t xml:space="preserve"> 1993</w:t>
      </w:r>
      <w:r w:rsidR="00A639C7">
        <w:rPr>
          <w:rFonts w:eastAsia="Calibri" w:cs="Times New Roman"/>
          <w:szCs w:val="24"/>
        </w:rPr>
        <w:t>,</w:t>
      </w:r>
      <w:r w:rsidR="00C150BE" w:rsidRPr="00840976">
        <w:rPr>
          <w:rFonts w:eastAsia="Calibri" w:cs="Times New Roman"/>
          <w:szCs w:val="24"/>
        </w:rPr>
        <w:t xml:space="preserve"> XI, 159, 160</w:t>
      </w:r>
      <w:r w:rsidR="00913E84">
        <w:rPr>
          <w:rFonts w:eastAsia="Calibri" w:cs="Times New Roman"/>
          <w:szCs w:val="24"/>
        </w:rPr>
        <w:t>;</w:t>
      </w:r>
      <w:r w:rsidR="00C150BE">
        <w:rPr>
          <w:rFonts w:eastAsia="Calibri" w:cs="Times New Roman"/>
          <w:szCs w:val="24"/>
        </w:rPr>
        <w:t xml:space="preserve"> </w:t>
      </w:r>
      <w:proofErr w:type="spellStart"/>
      <w:r w:rsidRPr="00840976">
        <w:rPr>
          <w:rFonts w:eastAsia="Calibri" w:cs="Times New Roman"/>
          <w:szCs w:val="24"/>
        </w:rPr>
        <w:t>Kâsânî</w:t>
      </w:r>
      <w:proofErr w:type="spellEnd"/>
      <w:r w:rsidRPr="00840976">
        <w:rPr>
          <w:rFonts w:eastAsia="Calibri" w:cs="Times New Roman"/>
          <w:szCs w:val="24"/>
        </w:rPr>
        <w:t xml:space="preserve">, </w:t>
      </w:r>
      <w:proofErr w:type="spellStart"/>
      <w:proofErr w:type="gramStart"/>
      <w:r w:rsidRPr="00840976">
        <w:rPr>
          <w:rFonts w:eastAsia="Calibri" w:cs="Times New Roman"/>
          <w:i/>
          <w:iCs/>
          <w:szCs w:val="24"/>
        </w:rPr>
        <w:t>Bedâi‘</w:t>
      </w:r>
      <w:proofErr w:type="gramEnd"/>
      <w:r w:rsidRPr="00840976">
        <w:rPr>
          <w:rFonts w:eastAsia="Calibri" w:cs="Times New Roman"/>
          <w:i/>
          <w:iCs/>
          <w:szCs w:val="24"/>
        </w:rPr>
        <w:t>u’s-sanâi</w:t>
      </w:r>
      <w:proofErr w:type="spellEnd"/>
      <w:r w:rsidRPr="00840976">
        <w:rPr>
          <w:rFonts w:eastAsia="Calibri" w:cs="Times New Roman"/>
          <w:szCs w:val="24"/>
        </w:rPr>
        <w:t>‘,</w:t>
      </w:r>
      <w:r w:rsidR="00A639C7">
        <w:rPr>
          <w:rFonts w:eastAsia="Calibri" w:cs="Times New Roman"/>
          <w:szCs w:val="24"/>
        </w:rPr>
        <w:t xml:space="preserve"> </w:t>
      </w:r>
      <w:r w:rsidR="00A639C7" w:rsidRPr="00840976">
        <w:rPr>
          <w:rFonts w:eastAsia="Calibri" w:cs="Times New Roman"/>
          <w:szCs w:val="24"/>
        </w:rPr>
        <w:t>Beyrut</w:t>
      </w:r>
      <w:r w:rsidR="00913E84">
        <w:rPr>
          <w:rFonts w:eastAsia="Calibri" w:cs="Times New Roman"/>
          <w:szCs w:val="24"/>
        </w:rPr>
        <w:t>,</w:t>
      </w:r>
      <w:r w:rsidR="00A639C7" w:rsidRPr="00840976">
        <w:rPr>
          <w:rFonts w:eastAsia="Calibri" w:cs="Times New Roman"/>
          <w:szCs w:val="24"/>
        </w:rPr>
        <w:t xml:space="preserve"> 1986</w:t>
      </w:r>
      <w:r w:rsidR="00A639C7">
        <w:rPr>
          <w:rFonts w:eastAsia="Calibri" w:cs="Times New Roman"/>
          <w:szCs w:val="24"/>
        </w:rPr>
        <w:t xml:space="preserve">, </w:t>
      </w:r>
      <w:r w:rsidRPr="00840976">
        <w:rPr>
          <w:rFonts w:eastAsia="Calibri" w:cs="Times New Roman"/>
          <w:szCs w:val="24"/>
        </w:rPr>
        <w:t xml:space="preserve">VI, 59). Diğer yandan para dışındaki bir varlık sermaye yapılmak istendiğinde bu varlığın satımı yoluyla parasal değeri net olarak ortaya çıkmalıdır. </w:t>
      </w:r>
      <w:r w:rsidRPr="00F7796A">
        <w:rPr>
          <w:rFonts w:eastAsia="Calibri" w:cs="Times New Roman"/>
          <w:szCs w:val="24"/>
        </w:rPr>
        <w:t>Aynı şekilde ortaklardan birinin sermayesinin para, diğerinin para dışındaki bir varlık</w:t>
      </w:r>
      <w:r w:rsidR="006A2103">
        <w:rPr>
          <w:rFonts w:eastAsia="Calibri" w:cs="Times New Roman"/>
          <w:szCs w:val="24"/>
        </w:rPr>
        <w:t xml:space="preserve"> veya değer</w:t>
      </w:r>
      <w:r w:rsidRPr="00F7796A">
        <w:rPr>
          <w:rFonts w:eastAsia="Calibri" w:cs="Times New Roman"/>
          <w:szCs w:val="24"/>
        </w:rPr>
        <w:t xml:space="preserve"> olması durumunda ortakların sermayedeki paylarında bilinmezlik olacağından bu şekildeki bir ortaklık geçerli olmaz. Alacağın tahsil edilip sermaye yapılması hususu da yukarıdaki şartlara tabidir.</w:t>
      </w:r>
    </w:p>
    <w:p w14:paraId="32775BEB" w14:textId="01F035F6" w:rsidR="00D93CCA" w:rsidRPr="00840976" w:rsidRDefault="00D93CCA" w:rsidP="00D93CCA">
      <w:pPr>
        <w:jc w:val="both"/>
        <w:rPr>
          <w:rFonts w:eastAsia="Calibri" w:cs="Times New Roman"/>
          <w:szCs w:val="24"/>
        </w:rPr>
      </w:pPr>
      <w:r w:rsidRPr="00840976">
        <w:rPr>
          <w:rFonts w:eastAsia="Calibri" w:cs="Times New Roman"/>
          <w:szCs w:val="24"/>
        </w:rPr>
        <w:t>Farklı para birimleriyle ortaklık kurulması söz konusu olduğunda, bu para birimlerinden biri cinsinden ortaklık sermayesi üzerindeki katılım payları belirlenir ve ortaklar kuruluş sermayesi üzerinde paydaş olur. Ortakların ayrı cinsten para koymaları halinde şirket sermayesindeki paylarının belirlenebilmesi ve ileride yaşanabilecek kur farklarındaki ciddi oynaklıkların taraflar arasında zarara</w:t>
      </w:r>
      <w:r w:rsidR="00614C21" w:rsidRPr="00614C21">
        <w:rPr>
          <w:rFonts w:asciiTheme="majorBidi" w:eastAsia="Calibri" w:hAnsiTheme="majorBidi" w:cstheme="majorBidi"/>
          <w:szCs w:val="24"/>
        </w:rPr>
        <w:t xml:space="preserve"> </w:t>
      </w:r>
      <w:r w:rsidR="00614C21" w:rsidRPr="00840276">
        <w:rPr>
          <w:rFonts w:asciiTheme="majorBidi" w:eastAsia="Calibri" w:hAnsiTheme="majorBidi" w:cstheme="majorBidi"/>
          <w:szCs w:val="24"/>
        </w:rPr>
        <w:t>ve çekişme</w:t>
      </w:r>
      <w:r w:rsidR="00614C21">
        <w:rPr>
          <w:rFonts w:asciiTheme="majorBidi" w:eastAsia="Calibri" w:hAnsiTheme="majorBidi" w:cstheme="majorBidi"/>
          <w:szCs w:val="24"/>
        </w:rPr>
        <w:t>ye</w:t>
      </w:r>
      <w:r w:rsidRPr="00840976">
        <w:rPr>
          <w:rFonts w:eastAsia="Calibri" w:cs="Times New Roman"/>
          <w:szCs w:val="24"/>
        </w:rPr>
        <w:t xml:space="preserve"> sebep olabileceği göz önünde bulundurularak tarafların bir para birimini tayin etmeleri ve sermayedeki paylarının bu para birimlerinin ortaklık hesabına konulduğu gündeki değeri esas alınarak belirlenmesi kural olarak benimsenmiştir. Bu belirleme sonucunda ortaklık sermayesi kullanılarak satın alınacak mallar ortakların ayrı ayrı mülkiyetlerinde bulunan paradan değil ortaklığın sermayesi olarak karıştırılan paralardan alınmış olacak; kâr ve zarar da buna göre paylaştırılacaktır. </w:t>
      </w:r>
    </w:p>
    <w:p w14:paraId="280E1A84" w14:textId="55C3BFAC" w:rsidR="00D93CCA" w:rsidRPr="00840976" w:rsidRDefault="00D93CCA" w:rsidP="00D93CCA">
      <w:pPr>
        <w:jc w:val="both"/>
        <w:rPr>
          <w:rFonts w:eastAsia="Calibri" w:cs="Times New Roman"/>
          <w:szCs w:val="24"/>
        </w:rPr>
      </w:pPr>
      <w:r w:rsidRPr="00840976">
        <w:rPr>
          <w:rFonts w:eastAsia="Calibri" w:cs="Times New Roman"/>
          <w:szCs w:val="24"/>
        </w:rPr>
        <w:lastRenderedPageBreak/>
        <w:t xml:space="preserve">Ortakların sermayedeki paylarının eşit olması akit şirketlerinin kuruluş </w:t>
      </w:r>
      <w:r w:rsidR="009D55F6">
        <w:rPr>
          <w:rFonts w:eastAsia="Calibri" w:cs="Times New Roman"/>
          <w:szCs w:val="24"/>
        </w:rPr>
        <w:t>tiplerinden</w:t>
      </w:r>
      <w:r w:rsidR="009D55F6" w:rsidRPr="00840976">
        <w:rPr>
          <w:rFonts w:eastAsia="Calibri" w:cs="Times New Roman"/>
          <w:szCs w:val="24"/>
        </w:rPr>
        <w:t xml:space="preserve"> </w:t>
      </w:r>
      <w:r w:rsidRPr="00840976">
        <w:rPr>
          <w:rFonts w:eastAsia="Calibri" w:cs="Times New Roman"/>
          <w:szCs w:val="24"/>
        </w:rPr>
        <w:t xml:space="preserve">birisi olan </w:t>
      </w:r>
      <w:proofErr w:type="spellStart"/>
      <w:r w:rsidRPr="00840976">
        <w:rPr>
          <w:rFonts w:eastAsia="Calibri" w:cs="Times New Roman"/>
          <w:szCs w:val="24"/>
        </w:rPr>
        <w:t>mufâvada</w:t>
      </w:r>
      <w:proofErr w:type="spellEnd"/>
      <w:r w:rsidRPr="00840976">
        <w:rPr>
          <w:rFonts w:eastAsia="Calibri" w:cs="Times New Roman"/>
          <w:szCs w:val="24"/>
        </w:rPr>
        <w:t xml:space="preserve"> şirketinin bir şartıdır. </w:t>
      </w:r>
      <w:proofErr w:type="spellStart"/>
      <w:r w:rsidR="00156F57">
        <w:rPr>
          <w:rFonts w:eastAsia="Calibri" w:cs="Times New Roman"/>
          <w:szCs w:val="24"/>
        </w:rPr>
        <w:t>Müşâreke</w:t>
      </w:r>
      <w:proofErr w:type="spellEnd"/>
      <w:r w:rsidRPr="00840976">
        <w:rPr>
          <w:rFonts w:eastAsia="Calibri" w:cs="Times New Roman"/>
          <w:szCs w:val="24"/>
        </w:rPr>
        <w:t xml:space="preserve"> ise ortakların birbirinin kefili değil yalnızca vekili olduğu </w:t>
      </w:r>
      <w:proofErr w:type="spellStart"/>
      <w:r w:rsidRPr="00840976">
        <w:rPr>
          <w:rFonts w:eastAsia="Calibri" w:cs="Times New Roman"/>
          <w:szCs w:val="24"/>
        </w:rPr>
        <w:t>inân</w:t>
      </w:r>
      <w:proofErr w:type="spellEnd"/>
      <w:r w:rsidRPr="00840976">
        <w:rPr>
          <w:rFonts w:eastAsia="Calibri" w:cs="Times New Roman"/>
          <w:szCs w:val="24"/>
        </w:rPr>
        <w:t xml:space="preserve"> </w:t>
      </w:r>
      <w:r w:rsidR="00613B78">
        <w:rPr>
          <w:rFonts w:eastAsia="Calibri" w:cs="Times New Roman"/>
          <w:szCs w:val="24"/>
        </w:rPr>
        <w:t>tipinde</w:t>
      </w:r>
      <w:r w:rsidR="00613B78" w:rsidRPr="00840976">
        <w:rPr>
          <w:rFonts w:eastAsia="Calibri" w:cs="Times New Roman"/>
          <w:szCs w:val="24"/>
        </w:rPr>
        <w:t xml:space="preserve"> </w:t>
      </w:r>
      <w:r w:rsidRPr="00840976">
        <w:rPr>
          <w:rFonts w:eastAsia="Calibri" w:cs="Times New Roman"/>
          <w:szCs w:val="24"/>
        </w:rPr>
        <w:t xml:space="preserve">kurulan </w:t>
      </w:r>
      <w:r w:rsidR="00613B78">
        <w:rPr>
          <w:rFonts w:eastAsia="Calibri" w:cs="Times New Roman"/>
          <w:szCs w:val="24"/>
        </w:rPr>
        <w:t xml:space="preserve">bir </w:t>
      </w:r>
      <w:r w:rsidRPr="00840976">
        <w:rPr>
          <w:rFonts w:eastAsia="Calibri" w:cs="Times New Roman"/>
          <w:szCs w:val="24"/>
        </w:rPr>
        <w:t>sermaye ortaklığı</w:t>
      </w:r>
      <w:r w:rsidR="002439B8">
        <w:rPr>
          <w:rFonts w:eastAsia="Calibri" w:cs="Times New Roman"/>
          <w:szCs w:val="24"/>
        </w:rPr>
        <w:t>dır</w:t>
      </w:r>
      <w:r w:rsidR="00613B78" w:rsidRPr="00613B78">
        <w:rPr>
          <w:rFonts w:eastAsia="Calibri" w:cs="Times New Roman"/>
          <w:szCs w:val="24"/>
        </w:rPr>
        <w:t xml:space="preserve"> </w:t>
      </w:r>
      <w:r w:rsidR="002439B8">
        <w:rPr>
          <w:rFonts w:eastAsia="Calibri" w:cs="Times New Roman"/>
          <w:szCs w:val="24"/>
        </w:rPr>
        <w:t>(</w:t>
      </w:r>
      <w:r w:rsidR="00613B78" w:rsidRPr="00840976">
        <w:rPr>
          <w:rFonts w:eastAsia="Calibri" w:cs="Times New Roman"/>
          <w:szCs w:val="24"/>
        </w:rPr>
        <w:t>şirket</w:t>
      </w:r>
      <w:r w:rsidR="00613B78">
        <w:rPr>
          <w:rFonts w:eastAsia="Calibri" w:cs="Times New Roman"/>
          <w:szCs w:val="24"/>
        </w:rPr>
        <w:t>-</w:t>
      </w:r>
      <w:r w:rsidR="00613B78" w:rsidRPr="00840976">
        <w:rPr>
          <w:rFonts w:eastAsia="Calibri" w:cs="Times New Roman"/>
          <w:szCs w:val="24"/>
        </w:rPr>
        <w:t xml:space="preserve">i </w:t>
      </w:r>
      <w:r w:rsidR="00613B78">
        <w:rPr>
          <w:rFonts w:eastAsia="Calibri" w:cs="Times New Roman"/>
          <w:szCs w:val="24"/>
        </w:rPr>
        <w:t>emval</w:t>
      </w:r>
      <w:r w:rsidR="002439B8">
        <w:rPr>
          <w:rFonts w:eastAsia="Calibri" w:cs="Times New Roman"/>
          <w:szCs w:val="24"/>
        </w:rPr>
        <w:t>)</w:t>
      </w:r>
      <w:r w:rsidRPr="00840976">
        <w:rPr>
          <w:rFonts w:eastAsia="Calibri" w:cs="Times New Roman"/>
          <w:szCs w:val="24"/>
        </w:rPr>
        <w:t xml:space="preserve">. </w:t>
      </w:r>
      <w:proofErr w:type="spellStart"/>
      <w:r w:rsidRPr="00840976">
        <w:rPr>
          <w:rFonts w:eastAsia="Calibri" w:cs="Times New Roman"/>
          <w:szCs w:val="24"/>
        </w:rPr>
        <w:t>İnân</w:t>
      </w:r>
      <w:proofErr w:type="spellEnd"/>
      <w:r w:rsidRPr="00840976">
        <w:rPr>
          <w:rFonts w:eastAsia="Calibri" w:cs="Times New Roman"/>
          <w:szCs w:val="24"/>
        </w:rPr>
        <w:t xml:space="preserve"> tarzı şirketlerde ortakların sermayelerinin eşit olması şart değildir (</w:t>
      </w:r>
      <w:proofErr w:type="spellStart"/>
      <w:r w:rsidRPr="00840976">
        <w:rPr>
          <w:rFonts w:eastAsia="Calibri" w:cs="Times New Roman"/>
          <w:szCs w:val="24"/>
        </w:rPr>
        <w:t>Kâsânî</w:t>
      </w:r>
      <w:proofErr w:type="spellEnd"/>
      <w:r w:rsidRPr="00840976">
        <w:rPr>
          <w:rFonts w:eastAsia="Calibri" w:cs="Times New Roman"/>
          <w:szCs w:val="24"/>
        </w:rPr>
        <w:t xml:space="preserve">, </w:t>
      </w:r>
      <w:proofErr w:type="spellStart"/>
      <w:proofErr w:type="gramStart"/>
      <w:r w:rsidRPr="00840976">
        <w:rPr>
          <w:rFonts w:eastAsia="Calibri" w:cs="Times New Roman"/>
          <w:i/>
          <w:iCs/>
          <w:szCs w:val="24"/>
        </w:rPr>
        <w:t>Bedâi‘</w:t>
      </w:r>
      <w:proofErr w:type="gramEnd"/>
      <w:r w:rsidRPr="00840976">
        <w:rPr>
          <w:rFonts w:eastAsia="Calibri" w:cs="Times New Roman"/>
          <w:i/>
          <w:iCs/>
          <w:szCs w:val="24"/>
        </w:rPr>
        <w:t>u’s-sanâi</w:t>
      </w:r>
      <w:proofErr w:type="spellEnd"/>
      <w:r w:rsidRPr="00840976">
        <w:rPr>
          <w:rFonts w:eastAsia="Calibri" w:cs="Times New Roman"/>
          <w:i/>
          <w:iCs/>
          <w:szCs w:val="24"/>
        </w:rPr>
        <w:t>‘</w:t>
      </w:r>
      <w:r w:rsidRPr="00840976">
        <w:rPr>
          <w:rFonts w:eastAsia="Calibri" w:cs="Times New Roman"/>
          <w:szCs w:val="24"/>
        </w:rPr>
        <w:t xml:space="preserve">, VI, 62; İbn </w:t>
      </w:r>
      <w:proofErr w:type="spellStart"/>
      <w:r w:rsidRPr="00840976">
        <w:rPr>
          <w:rFonts w:eastAsia="Calibri" w:cs="Times New Roman"/>
          <w:szCs w:val="24"/>
        </w:rPr>
        <w:t>Rüşd</w:t>
      </w:r>
      <w:proofErr w:type="spellEnd"/>
      <w:r w:rsidRPr="00840976">
        <w:rPr>
          <w:rFonts w:eastAsia="Calibri" w:cs="Times New Roman"/>
          <w:szCs w:val="24"/>
        </w:rPr>
        <w:t xml:space="preserve">, </w:t>
      </w:r>
      <w:proofErr w:type="spellStart"/>
      <w:r w:rsidRPr="00840976">
        <w:rPr>
          <w:rFonts w:eastAsia="Calibri" w:cs="Times New Roman"/>
          <w:i/>
          <w:iCs/>
          <w:szCs w:val="24"/>
        </w:rPr>
        <w:t>Bidâyetü’l-müctehid</w:t>
      </w:r>
      <w:proofErr w:type="spellEnd"/>
      <w:r w:rsidRPr="00840976">
        <w:rPr>
          <w:rFonts w:eastAsia="Calibri" w:cs="Times New Roman"/>
          <w:szCs w:val="24"/>
        </w:rPr>
        <w:t>, Kahire</w:t>
      </w:r>
      <w:r w:rsidR="00913E84">
        <w:rPr>
          <w:rFonts w:eastAsia="Calibri" w:cs="Times New Roman"/>
          <w:szCs w:val="24"/>
        </w:rPr>
        <w:t>,</w:t>
      </w:r>
      <w:r w:rsidRPr="00840976">
        <w:rPr>
          <w:rFonts w:eastAsia="Calibri" w:cs="Times New Roman"/>
          <w:szCs w:val="24"/>
        </w:rPr>
        <w:t xml:space="preserve"> 2004, IV, 36;  Mecelle, </w:t>
      </w:r>
      <w:proofErr w:type="spellStart"/>
      <w:r w:rsidRPr="00840976">
        <w:rPr>
          <w:rFonts w:eastAsia="Calibri" w:cs="Times New Roman"/>
          <w:szCs w:val="24"/>
        </w:rPr>
        <w:t>md.</w:t>
      </w:r>
      <w:proofErr w:type="spellEnd"/>
      <w:r w:rsidRPr="00840976">
        <w:rPr>
          <w:rFonts w:eastAsia="Calibri" w:cs="Times New Roman"/>
          <w:szCs w:val="24"/>
        </w:rPr>
        <w:t xml:space="preserve"> 1365). </w:t>
      </w:r>
    </w:p>
    <w:p w14:paraId="41685F5E" w14:textId="263A2378" w:rsidR="006E5654" w:rsidRPr="00840976" w:rsidRDefault="006E5654" w:rsidP="00480DD5">
      <w:pPr>
        <w:jc w:val="both"/>
        <w:rPr>
          <w:rFonts w:eastAsia="Calibri" w:cs="Times New Roman"/>
          <w:szCs w:val="24"/>
        </w:rPr>
      </w:pPr>
      <w:r w:rsidRPr="00840976">
        <w:rPr>
          <w:rFonts w:eastAsia="Calibri" w:cs="Times New Roman"/>
          <w:szCs w:val="24"/>
        </w:rPr>
        <w:t>Her bir ortak tarafından taahhüt edilen sermayenin peşin olarak teslim edilmesi, şirketin bir an önce faaliyete başlayabilmesi</w:t>
      </w:r>
      <w:r w:rsidR="00D838A4">
        <w:rPr>
          <w:rFonts w:eastAsia="Calibri" w:cs="Times New Roman"/>
          <w:szCs w:val="24"/>
        </w:rPr>
        <w:t>, sermayenin geç teslim edilmesinden kaynaklanabilecek ihtilaflara neden olmaması ve kâr-zarar muhasebesinin hakkaniyetle tutulabilmesi</w:t>
      </w:r>
      <w:r w:rsidRPr="00840976">
        <w:rPr>
          <w:rFonts w:eastAsia="Calibri" w:cs="Times New Roman"/>
          <w:szCs w:val="24"/>
        </w:rPr>
        <w:t xml:space="preserve"> için önemlidir. </w:t>
      </w:r>
      <w:r w:rsidR="00297CF6">
        <w:rPr>
          <w:rFonts w:eastAsia="Calibri" w:cs="Times New Roman"/>
          <w:szCs w:val="24"/>
        </w:rPr>
        <w:t xml:space="preserve">Nitekim </w:t>
      </w:r>
      <w:r w:rsidR="00984371" w:rsidRPr="00840976">
        <w:rPr>
          <w:rFonts w:eastAsia="Calibri" w:cs="Times New Roman"/>
          <w:szCs w:val="24"/>
        </w:rPr>
        <w:t>İslam hukukunda sermayenin</w:t>
      </w:r>
      <w:r w:rsidR="00D74512">
        <w:rPr>
          <w:rFonts w:eastAsia="Calibri" w:cs="Times New Roman"/>
          <w:szCs w:val="24"/>
        </w:rPr>
        <w:t xml:space="preserve"> en geç</w:t>
      </w:r>
      <w:r w:rsidR="00984371" w:rsidRPr="00840976">
        <w:rPr>
          <w:rFonts w:eastAsia="Calibri" w:cs="Times New Roman"/>
          <w:szCs w:val="24"/>
        </w:rPr>
        <w:t xml:space="preserve"> ticari faaliyete</w:t>
      </w:r>
      <w:r w:rsidR="00480DD5">
        <w:rPr>
          <w:rFonts w:eastAsia="Calibri" w:cs="Times New Roman"/>
          <w:szCs w:val="24"/>
        </w:rPr>
        <w:t xml:space="preserve"> </w:t>
      </w:r>
      <w:r w:rsidR="00480DD5" w:rsidRPr="00480DD5">
        <w:rPr>
          <w:rFonts w:eastAsia="Calibri" w:cs="Times New Roman"/>
          <w:szCs w:val="24"/>
        </w:rPr>
        <w:t>başlanılacağı zaman</w:t>
      </w:r>
      <w:r w:rsidR="00984371" w:rsidRPr="00840976">
        <w:rPr>
          <w:rFonts w:eastAsia="Calibri" w:cs="Times New Roman"/>
          <w:szCs w:val="24"/>
        </w:rPr>
        <w:t xml:space="preserve"> getirilmesi gerekli görül</w:t>
      </w:r>
      <w:r w:rsidR="000D210C">
        <w:rPr>
          <w:rFonts w:eastAsia="Calibri" w:cs="Times New Roman"/>
          <w:szCs w:val="24"/>
        </w:rPr>
        <w:t xml:space="preserve">müştür </w:t>
      </w:r>
      <w:r w:rsidR="00984371" w:rsidRPr="00840976">
        <w:rPr>
          <w:rFonts w:eastAsia="Calibri" w:cs="Times New Roman"/>
          <w:szCs w:val="24"/>
        </w:rPr>
        <w:t>(</w:t>
      </w:r>
      <w:proofErr w:type="spellStart"/>
      <w:r w:rsidR="00984371" w:rsidRPr="00840976">
        <w:rPr>
          <w:rFonts w:eastAsia="Calibri" w:cs="Times New Roman"/>
          <w:szCs w:val="24"/>
        </w:rPr>
        <w:t>Kâsânî</w:t>
      </w:r>
      <w:proofErr w:type="spellEnd"/>
      <w:r w:rsidR="00984371" w:rsidRPr="00840976">
        <w:rPr>
          <w:rFonts w:eastAsia="Calibri" w:cs="Times New Roman"/>
          <w:szCs w:val="24"/>
        </w:rPr>
        <w:t xml:space="preserve">, </w:t>
      </w:r>
      <w:proofErr w:type="spellStart"/>
      <w:proofErr w:type="gramStart"/>
      <w:r w:rsidR="00984371" w:rsidRPr="00A639C7">
        <w:rPr>
          <w:rFonts w:eastAsia="Calibri" w:cs="Times New Roman"/>
          <w:i/>
          <w:iCs/>
          <w:szCs w:val="24"/>
        </w:rPr>
        <w:t>Bedâi‘</w:t>
      </w:r>
      <w:proofErr w:type="gramEnd"/>
      <w:r w:rsidR="00984371" w:rsidRPr="00A639C7">
        <w:rPr>
          <w:rFonts w:eastAsia="Calibri" w:cs="Times New Roman"/>
          <w:i/>
          <w:iCs/>
          <w:szCs w:val="24"/>
        </w:rPr>
        <w:t>u’s-sanâi</w:t>
      </w:r>
      <w:proofErr w:type="spellEnd"/>
      <w:r w:rsidR="00984371" w:rsidRPr="00840976">
        <w:rPr>
          <w:rFonts w:eastAsia="Calibri" w:cs="Times New Roman"/>
          <w:szCs w:val="24"/>
        </w:rPr>
        <w:t>‘,</w:t>
      </w:r>
      <w:r w:rsidR="00A639C7">
        <w:rPr>
          <w:rFonts w:eastAsia="Calibri" w:cs="Times New Roman"/>
          <w:szCs w:val="24"/>
        </w:rPr>
        <w:t xml:space="preserve"> </w:t>
      </w:r>
      <w:r w:rsidR="00984371" w:rsidRPr="00840976">
        <w:rPr>
          <w:rFonts w:eastAsia="Calibri" w:cs="Times New Roman"/>
          <w:szCs w:val="24"/>
        </w:rPr>
        <w:t>VI, 60)</w:t>
      </w:r>
      <w:r w:rsidR="000D210C">
        <w:rPr>
          <w:rFonts w:eastAsia="Calibri" w:cs="Times New Roman"/>
          <w:szCs w:val="24"/>
        </w:rPr>
        <w:t>.</w:t>
      </w:r>
    </w:p>
    <w:p w14:paraId="54474040" w14:textId="1F6F8684" w:rsidR="006F1016" w:rsidRDefault="00D93CCA" w:rsidP="00913E84">
      <w:pPr>
        <w:jc w:val="both"/>
        <w:rPr>
          <w:rFonts w:eastAsia="Calibri" w:cs="Times New Roman"/>
          <w:szCs w:val="24"/>
        </w:rPr>
      </w:pPr>
      <w:proofErr w:type="spellStart"/>
      <w:r w:rsidRPr="00840976">
        <w:rPr>
          <w:rFonts w:eastAsia="Calibri" w:cs="Times New Roman"/>
          <w:szCs w:val="24"/>
        </w:rPr>
        <w:t>İnân</w:t>
      </w:r>
      <w:proofErr w:type="spellEnd"/>
      <w:r w:rsidRPr="00840976">
        <w:rPr>
          <w:rFonts w:eastAsia="Calibri" w:cs="Times New Roman"/>
          <w:szCs w:val="24"/>
        </w:rPr>
        <w:t xml:space="preserve"> </w:t>
      </w:r>
      <w:r w:rsidR="002439B8">
        <w:rPr>
          <w:rFonts w:eastAsia="Calibri" w:cs="Times New Roman"/>
          <w:szCs w:val="24"/>
        </w:rPr>
        <w:t>tipi</w:t>
      </w:r>
      <w:r w:rsidR="002439B8" w:rsidRPr="00840976">
        <w:rPr>
          <w:rFonts w:eastAsia="Calibri" w:cs="Times New Roman"/>
          <w:szCs w:val="24"/>
        </w:rPr>
        <w:t xml:space="preserve"> </w:t>
      </w:r>
      <w:r w:rsidRPr="00840976">
        <w:rPr>
          <w:rFonts w:eastAsia="Calibri" w:cs="Times New Roman"/>
          <w:szCs w:val="24"/>
        </w:rPr>
        <w:t xml:space="preserve">şirketlerin hükümlerine tâbi olduğu için </w:t>
      </w:r>
      <w:proofErr w:type="spellStart"/>
      <w:r w:rsidR="00156F57">
        <w:rPr>
          <w:rFonts w:eastAsia="Calibri" w:cs="Times New Roman"/>
          <w:szCs w:val="24"/>
        </w:rPr>
        <w:t>müşâreke</w:t>
      </w:r>
      <w:r w:rsidRPr="00840976">
        <w:rPr>
          <w:rFonts w:eastAsia="Calibri" w:cs="Times New Roman"/>
          <w:szCs w:val="24"/>
        </w:rPr>
        <w:t>de</w:t>
      </w:r>
      <w:proofErr w:type="spellEnd"/>
      <w:r w:rsidRPr="00840976">
        <w:rPr>
          <w:rFonts w:eastAsia="Calibri" w:cs="Times New Roman"/>
          <w:szCs w:val="24"/>
        </w:rPr>
        <w:t xml:space="preserve">, ortakların karşılıklı mutabakatının sağlanması şartıyla, sermayedeki katılım payları artırılabilir. </w:t>
      </w:r>
      <w:proofErr w:type="spellStart"/>
      <w:r w:rsidR="00156F57">
        <w:rPr>
          <w:rFonts w:eastAsia="Calibri" w:cs="Times New Roman"/>
          <w:szCs w:val="24"/>
        </w:rPr>
        <w:t>Müşâreke</w:t>
      </w:r>
      <w:proofErr w:type="spellEnd"/>
      <w:r w:rsidRPr="00840976">
        <w:rPr>
          <w:rFonts w:eastAsia="Calibri" w:cs="Times New Roman"/>
          <w:szCs w:val="24"/>
        </w:rPr>
        <w:t xml:space="preserve"> sözleşmesi boyunca ortaklığın şartlarında yapılacak pek çok değişiklik ve iyileştirme, katılım finans</w:t>
      </w:r>
      <w:r w:rsidR="00A639C7">
        <w:rPr>
          <w:rFonts w:eastAsia="Calibri" w:cs="Times New Roman"/>
          <w:szCs w:val="24"/>
        </w:rPr>
        <w:t>ı</w:t>
      </w:r>
      <w:r w:rsidRPr="00840976">
        <w:rPr>
          <w:rFonts w:eastAsia="Calibri" w:cs="Times New Roman"/>
          <w:szCs w:val="24"/>
        </w:rPr>
        <w:t xml:space="preserve"> ilkelerine aykırı olmadıkça tarafların karşılıklı mutabakatları ile yapılabilir. Tarafların ortaklığa ek sermaye getirmeleri, ticari hayatın olağan akışı doğrultusunda söz konusu olabilecek bir husustur. Benzer şekilde yine tüm ortakların oybirliğiyle sermayedeki katılım paylarının azaltılması da mümkündür. Sermayenin bir kısmının geri çekilmesi durumunda</w:t>
      </w:r>
      <w:r w:rsidR="009726F5" w:rsidRPr="00840976">
        <w:rPr>
          <w:rFonts w:eastAsia="Calibri" w:cs="Times New Roman"/>
          <w:szCs w:val="24"/>
        </w:rPr>
        <w:t>,</w:t>
      </w:r>
      <w:r w:rsidRPr="00840976">
        <w:rPr>
          <w:rFonts w:eastAsia="Calibri" w:cs="Times New Roman"/>
          <w:szCs w:val="24"/>
        </w:rPr>
        <w:t xml:space="preserve"> kalan sermaye miktarı üzerinde </w:t>
      </w:r>
      <w:proofErr w:type="spellStart"/>
      <w:r w:rsidR="00156F57">
        <w:rPr>
          <w:rFonts w:eastAsia="Calibri" w:cs="Times New Roman"/>
          <w:szCs w:val="24"/>
        </w:rPr>
        <w:t>müşâreke</w:t>
      </w:r>
      <w:proofErr w:type="spellEnd"/>
      <w:r w:rsidRPr="00840976">
        <w:rPr>
          <w:rFonts w:eastAsia="Calibri" w:cs="Times New Roman"/>
          <w:szCs w:val="24"/>
        </w:rPr>
        <w:t xml:space="preserve"> devam eder. Her iki durumda da ortaklar kâr paylaşım oranını </w:t>
      </w:r>
      <w:r w:rsidR="00DC03B0">
        <w:rPr>
          <w:rFonts w:eastAsia="Calibri" w:cs="Times New Roman"/>
          <w:szCs w:val="24"/>
        </w:rPr>
        <w:t xml:space="preserve">mutabakatla </w:t>
      </w:r>
      <w:r w:rsidRPr="00840976">
        <w:rPr>
          <w:rFonts w:eastAsia="Calibri" w:cs="Times New Roman"/>
          <w:szCs w:val="24"/>
        </w:rPr>
        <w:t>yeniden belirleme hakkına sahiptir (</w:t>
      </w:r>
      <w:proofErr w:type="spellStart"/>
      <w:r w:rsidRPr="00840976">
        <w:rPr>
          <w:rFonts w:eastAsia="Calibri" w:cs="Times New Roman"/>
          <w:szCs w:val="24"/>
        </w:rPr>
        <w:t>Serahsî</w:t>
      </w:r>
      <w:proofErr w:type="spellEnd"/>
      <w:r w:rsidRPr="00840976">
        <w:rPr>
          <w:rFonts w:eastAsia="Calibri" w:cs="Times New Roman"/>
          <w:szCs w:val="24"/>
        </w:rPr>
        <w:t xml:space="preserve">, </w:t>
      </w:r>
      <w:r w:rsidRPr="00A639C7">
        <w:rPr>
          <w:rFonts w:eastAsia="Calibri" w:cs="Times New Roman"/>
          <w:i/>
          <w:iCs/>
          <w:szCs w:val="24"/>
        </w:rPr>
        <w:t>el-</w:t>
      </w:r>
      <w:proofErr w:type="spellStart"/>
      <w:r w:rsidRPr="00A639C7">
        <w:rPr>
          <w:rFonts w:eastAsia="Calibri" w:cs="Times New Roman"/>
          <w:i/>
          <w:iCs/>
          <w:szCs w:val="24"/>
        </w:rPr>
        <w:t>Mebsût</w:t>
      </w:r>
      <w:proofErr w:type="spellEnd"/>
      <w:r w:rsidRPr="00840976">
        <w:rPr>
          <w:rFonts w:eastAsia="Calibri" w:cs="Times New Roman"/>
          <w:szCs w:val="24"/>
        </w:rPr>
        <w:t xml:space="preserve">, XI, 157). Zira </w:t>
      </w:r>
      <w:proofErr w:type="spellStart"/>
      <w:r w:rsidR="00156F57">
        <w:rPr>
          <w:rFonts w:eastAsia="Calibri" w:cs="Times New Roman"/>
          <w:szCs w:val="24"/>
        </w:rPr>
        <w:t>müşâreke</w:t>
      </w:r>
      <w:r w:rsidRPr="00840976">
        <w:rPr>
          <w:rFonts w:eastAsia="Calibri" w:cs="Times New Roman"/>
          <w:szCs w:val="24"/>
        </w:rPr>
        <w:t>de</w:t>
      </w:r>
      <w:proofErr w:type="spellEnd"/>
      <w:r w:rsidRPr="00840976">
        <w:rPr>
          <w:rFonts w:eastAsia="Calibri" w:cs="Times New Roman"/>
          <w:szCs w:val="24"/>
        </w:rPr>
        <w:t xml:space="preserve"> taraflar kâr oranlarını sermayedeki paylarından farklı olarak sözleşme sırasında karşılıklı mutabakat ile belirleyebildikleri gibi, sermayedeki paylarında yaşanacak artış ve azalışa göre yeniden de düzenleyebilirler. Zarar paylaşımı ise her durumda sermaye oranında olmalıdır ve bu sebeple sermayedeki yeni katılım paylarıyla orantılı olacak şekilde düzenlenmelidir (</w:t>
      </w:r>
      <w:proofErr w:type="spellStart"/>
      <w:r w:rsidRPr="00840976">
        <w:rPr>
          <w:rFonts w:eastAsia="Calibri" w:cs="Times New Roman"/>
          <w:szCs w:val="24"/>
        </w:rPr>
        <w:t>Kâsânî</w:t>
      </w:r>
      <w:proofErr w:type="spellEnd"/>
      <w:r w:rsidRPr="00840976">
        <w:rPr>
          <w:rFonts w:eastAsia="Calibri" w:cs="Times New Roman"/>
          <w:szCs w:val="24"/>
        </w:rPr>
        <w:t xml:space="preserve">, </w:t>
      </w:r>
      <w:proofErr w:type="spellStart"/>
      <w:proofErr w:type="gramStart"/>
      <w:r w:rsidRPr="00A639C7">
        <w:rPr>
          <w:rFonts w:eastAsia="Calibri" w:cs="Times New Roman"/>
          <w:i/>
          <w:iCs/>
          <w:szCs w:val="24"/>
        </w:rPr>
        <w:t>Bedâi‘</w:t>
      </w:r>
      <w:proofErr w:type="gramEnd"/>
      <w:r w:rsidRPr="00A639C7">
        <w:rPr>
          <w:rFonts w:eastAsia="Calibri" w:cs="Times New Roman"/>
          <w:i/>
          <w:iCs/>
          <w:szCs w:val="24"/>
        </w:rPr>
        <w:t>u’s-sanâi</w:t>
      </w:r>
      <w:proofErr w:type="spellEnd"/>
      <w:r w:rsidRPr="00A639C7">
        <w:rPr>
          <w:rFonts w:eastAsia="Calibri" w:cs="Times New Roman"/>
          <w:i/>
          <w:iCs/>
          <w:szCs w:val="24"/>
        </w:rPr>
        <w:t>‘</w:t>
      </w:r>
      <w:r w:rsidRPr="00A639C7">
        <w:rPr>
          <w:rFonts w:eastAsia="Calibri" w:cs="Times New Roman"/>
          <w:szCs w:val="24"/>
        </w:rPr>
        <w:t>,</w:t>
      </w:r>
      <w:r w:rsidR="00A639C7">
        <w:rPr>
          <w:rFonts w:eastAsia="Calibri" w:cs="Times New Roman"/>
          <w:i/>
          <w:iCs/>
          <w:szCs w:val="24"/>
        </w:rPr>
        <w:t xml:space="preserve"> </w:t>
      </w:r>
      <w:r w:rsidRPr="00840976">
        <w:rPr>
          <w:rFonts w:eastAsia="Calibri" w:cs="Times New Roman"/>
          <w:szCs w:val="24"/>
        </w:rPr>
        <w:t xml:space="preserve">VI, 62). Hz. Ali başta olmak üzere bazı </w:t>
      </w:r>
      <w:proofErr w:type="spellStart"/>
      <w:r w:rsidRPr="00840976">
        <w:rPr>
          <w:rFonts w:eastAsia="Calibri" w:cs="Times New Roman"/>
          <w:szCs w:val="24"/>
        </w:rPr>
        <w:t>sahabilerden</w:t>
      </w:r>
      <w:proofErr w:type="spellEnd"/>
      <w:r w:rsidRPr="00840976">
        <w:rPr>
          <w:rFonts w:eastAsia="Calibri" w:cs="Times New Roman"/>
          <w:szCs w:val="24"/>
        </w:rPr>
        <w:t xml:space="preserve"> ve tabiîn alimlerinden nakledilen </w:t>
      </w:r>
      <w:r w:rsidRPr="006952BB">
        <w:rPr>
          <w:rFonts w:eastAsia="Calibri" w:cs="Times New Roman"/>
          <w:i/>
          <w:iCs/>
          <w:szCs w:val="24"/>
        </w:rPr>
        <w:t>“Kâr</w:t>
      </w:r>
      <w:r w:rsidR="00984371" w:rsidRPr="006952BB">
        <w:rPr>
          <w:rFonts w:eastAsia="Calibri" w:cs="Times New Roman"/>
          <w:i/>
          <w:iCs/>
          <w:szCs w:val="24"/>
        </w:rPr>
        <w:t>,</w:t>
      </w:r>
      <w:r w:rsidRPr="006952BB">
        <w:rPr>
          <w:rFonts w:eastAsia="Calibri" w:cs="Times New Roman"/>
          <w:i/>
          <w:iCs/>
          <w:szCs w:val="24"/>
        </w:rPr>
        <w:t xml:space="preserve"> ortakların kararlaştırıp üzerinde anlaştıkları oranda paylaşılır</w:t>
      </w:r>
      <w:r w:rsidR="00A639C7" w:rsidRPr="006952BB">
        <w:rPr>
          <w:rFonts w:eastAsia="Calibri" w:cs="Times New Roman"/>
          <w:i/>
          <w:iCs/>
          <w:szCs w:val="24"/>
        </w:rPr>
        <w:t>. Z</w:t>
      </w:r>
      <w:r w:rsidRPr="006952BB">
        <w:rPr>
          <w:rFonts w:eastAsia="Calibri" w:cs="Times New Roman"/>
          <w:i/>
          <w:iCs/>
          <w:szCs w:val="24"/>
        </w:rPr>
        <w:t>arar ise sermaye oranına göredir”</w:t>
      </w:r>
      <w:r w:rsidRPr="00840976">
        <w:rPr>
          <w:rFonts w:eastAsia="Calibri" w:cs="Times New Roman"/>
          <w:szCs w:val="24"/>
        </w:rPr>
        <w:t xml:space="preserve"> mealindeki rivayet ile bu hüküm açıkça belirtilmiştir</w:t>
      </w:r>
      <w:r w:rsidR="00A639C7">
        <w:rPr>
          <w:rFonts w:eastAsia="Calibri" w:cs="Times New Roman"/>
          <w:szCs w:val="24"/>
        </w:rPr>
        <w:t xml:space="preserve"> </w:t>
      </w:r>
      <w:r w:rsidR="00A639C7" w:rsidRPr="00840976">
        <w:rPr>
          <w:rFonts w:eastAsia="Calibri" w:cs="Times New Roman"/>
          <w:szCs w:val="24"/>
        </w:rPr>
        <w:t xml:space="preserve">(İbn </w:t>
      </w:r>
      <w:proofErr w:type="spellStart"/>
      <w:r w:rsidR="00A639C7" w:rsidRPr="00840976">
        <w:rPr>
          <w:rFonts w:eastAsia="Calibri" w:cs="Times New Roman"/>
          <w:szCs w:val="24"/>
        </w:rPr>
        <w:t>Ebî</w:t>
      </w:r>
      <w:proofErr w:type="spellEnd"/>
      <w:r w:rsidR="00A639C7" w:rsidRPr="00840976">
        <w:rPr>
          <w:rFonts w:eastAsia="Calibri" w:cs="Times New Roman"/>
          <w:szCs w:val="24"/>
        </w:rPr>
        <w:t xml:space="preserve"> Şeybe, </w:t>
      </w:r>
      <w:r w:rsidR="00A639C7" w:rsidRPr="00A639C7">
        <w:rPr>
          <w:rFonts w:eastAsia="Calibri" w:cs="Times New Roman"/>
          <w:i/>
          <w:iCs/>
          <w:szCs w:val="24"/>
        </w:rPr>
        <w:t>el-</w:t>
      </w:r>
      <w:proofErr w:type="spellStart"/>
      <w:r w:rsidR="00A639C7" w:rsidRPr="00A639C7">
        <w:rPr>
          <w:rFonts w:eastAsia="Calibri" w:cs="Times New Roman"/>
          <w:i/>
          <w:iCs/>
          <w:szCs w:val="24"/>
        </w:rPr>
        <w:t>Musannef</w:t>
      </w:r>
      <w:proofErr w:type="spellEnd"/>
      <w:r w:rsidR="00A639C7" w:rsidRPr="00840976">
        <w:rPr>
          <w:rFonts w:eastAsia="Calibri" w:cs="Times New Roman"/>
          <w:szCs w:val="24"/>
        </w:rPr>
        <w:t>, Riyad</w:t>
      </w:r>
      <w:r w:rsidR="00913E84">
        <w:rPr>
          <w:rFonts w:eastAsia="Calibri" w:cs="Times New Roman"/>
          <w:szCs w:val="24"/>
        </w:rPr>
        <w:t>,</w:t>
      </w:r>
      <w:r w:rsidR="00A639C7" w:rsidRPr="00840976">
        <w:rPr>
          <w:rFonts w:eastAsia="Calibri" w:cs="Times New Roman"/>
          <w:szCs w:val="24"/>
        </w:rPr>
        <w:t xml:space="preserve"> 1409, IV, 267-268; İbni </w:t>
      </w:r>
      <w:proofErr w:type="spellStart"/>
      <w:r w:rsidR="00A639C7" w:rsidRPr="00840976">
        <w:rPr>
          <w:rFonts w:eastAsia="Calibri" w:cs="Times New Roman"/>
          <w:szCs w:val="24"/>
        </w:rPr>
        <w:t>Hazm</w:t>
      </w:r>
      <w:proofErr w:type="spellEnd"/>
      <w:r w:rsidR="00A639C7" w:rsidRPr="00840976">
        <w:rPr>
          <w:rFonts w:eastAsia="Calibri" w:cs="Times New Roman"/>
          <w:szCs w:val="24"/>
        </w:rPr>
        <w:t xml:space="preserve">, </w:t>
      </w:r>
      <w:r w:rsidR="00A639C7" w:rsidRPr="00A639C7">
        <w:rPr>
          <w:rFonts w:eastAsia="Calibri" w:cs="Times New Roman"/>
          <w:i/>
          <w:iCs/>
          <w:szCs w:val="24"/>
        </w:rPr>
        <w:t>el-</w:t>
      </w:r>
      <w:proofErr w:type="spellStart"/>
      <w:r w:rsidR="00A639C7" w:rsidRPr="00A639C7">
        <w:rPr>
          <w:rFonts w:eastAsia="Calibri" w:cs="Times New Roman"/>
          <w:i/>
          <w:iCs/>
          <w:szCs w:val="24"/>
        </w:rPr>
        <w:t>Muhall</w:t>
      </w:r>
      <w:r w:rsidR="00A639C7">
        <w:rPr>
          <w:rFonts w:eastAsia="Calibri" w:cs="Times New Roman"/>
          <w:i/>
          <w:iCs/>
          <w:szCs w:val="24"/>
        </w:rPr>
        <w:t>â</w:t>
      </w:r>
      <w:proofErr w:type="spellEnd"/>
      <w:r w:rsidR="00A639C7" w:rsidRPr="00840976">
        <w:rPr>
          <w:rFonts w:eastAsia="Calibri" w:cs="Times New Roman"/>
          <w:szCs w:val="24"/>
        </w:rPr>
        <w:t>, Beyrut</w:t>
      </w:r>
      <w:r w:rsidR="00913E84">
        <w:rPr>
          <w:rFonts w:eastAsia="Calibri" w:cs="Times New Roman"/>
          <w:szCs w:val="24"/>
        </w:rPr>
        <w:t>,</w:t>
      </w:r>
      <w:r w:rsidR="00A639C7" w:rsidRPr="00840976">
        <w:rPr>
          <w:rFonts w:eastAsia="Calibri" w:cs="Times New Roman"/>
          <w:szCs w:val="24"/>
        </w:rPr>
        <w:t xml:space="preserve"> </w:t>
      </w:r>
      <w:proofErr w:type="spellStart"/>
      <w:r w:rsidR="00A639C7" w:rsidRPr="00840976">
        <w:rPr>
          <w:rFonts w:eastAsia="Calibri" w:cs="Times New Roman"/>
          <w:szCs w:val="24"/>
        </w:rPr>
        <w:t>t</w:t>
      </w:r>
      <w:r w:rsidR="00913E84">
        <w:rPr>
          <w:rFonts w:eastAsia="Calibri" w:cs="Times New Roman"/>
          <w:szCs w:val="24"/>
        </w:rPr>
        <w:t>y</w:t>
      </w:r>
      <w:proofErr w:type="spellEnd"/>
      <w:r w:rsidR="00A639C7" w:rsidRPr="00840976">
        <w:rPr>
          <w:rFonts w:eastAsia="Calibri" w:cs="Times New Roman"/>
          <w:szCs w:val="24"/>
        </w:rPr>
        <w:t>.</w:t>
      </w:r>
      <w:r w:rsidR="00913E84">
        <w:rPr>
          <w:rFonts w:eastAsia="Calibri" w:cs="Times New Roman"/>
          <w:szCs w:val="24"/>
        </w:rPr>
        <w:t>,</w:t>
      </w:r>
      <w:r w:rsidR="00A639C7" w:rsidRPr="00840976">
        <w:rPr>
          <w:rFonts w:eastAsia="Calibri" w:cs="Times New Roman"/>
          <w:szCs w:val="24"/>
        </w:rPr>
        <w:t xml:space="preserve"> VI, 417; </w:t>
      </w:r>
      <w:proofErr w:type="spellStart"/>
      <w:r w:rsidR="00A639C7" w:rsidRPr="00840976">
        <w:rPr>
          <w:rFonts w:eastAsia="Calibri" w:cs="Times New Roman"/>
          <w:szCs w:val="24"/>
        </w:rPr>
        <w:t>Teh</w:t>
      </w:r>
      <w:r w:rsidR="00A639C7">
        <w:rPr>
          <w:rFonts w:eastAsia="Calibri" w:cs="Times New Roman"/>
          <w:szCs w:val="24"/>
        </w:rPr>
        <w:t>â</w:t>
      </w:r>
      <w:r w:rsidR="00A639C7" w:rsidRPr="00840976">
        <w:rPr>
          <w:rFonts w:eastAsia="Calibri" w:cs="Times New Roman"/>
          <w:szCs w:val="24"/>
        </w:rPr>
        <w:t>nevi</w:t>
      </w:r>
      <w:proofErr w:type="spellEnd"/>
      <w:r w:rsidR="00A639C7" w:rsidRPr="00840976">
        <w:rPr>
          <w:rFonts w:eastAsia="Calibri" w:cs="Times New Roman"/>
          <w:szCs w:val="24"/>
        </w:rPr>
        <w:t xml:space="preserve">, </w:t>
      </w:r>
      <w:proofErr w:type="spellStart"/>
      <w:r w:rsidR="00A639C7" w:rsidRPr="00A639C7">
        <w:rPr>
          <w:rFonts w:eastAsia="Calibri" w:cs="Times New Roman"/>
          <w:i/>
          <w:iCs/>
          <w:szCs w:val="24"/>
        </w:rPr>
        <w:t>İ’lâü’s</w:t>
      </w:r>
      <w:proofErr w:type="spellEnd"/>
      <w:r w:rsidR="00A639C7" w:rsidRPr="00A639C7">
        <w:rPr>
          <w:rFonts w:eastAsia="Calibri" w:cs="Times New Roman"/>
          <w:i/>
          <w:iCs/>
          <w:szCs w:val="24"/>
        </w:rPr>
        <w:t>-Sünen</w:t>
      </w:r>
      <w:r w:rsidR="00A639C7" w:rsidRPr="00840976">
        <w:rPr>
          <w:rFonts w:eastAsia="Calibri" w:cs="Times New Roman"/>
          <w:szCs w:val="24"/>
        </w:rPr>
        <w:t xml:space="preserve">, </w:t>
      </w:r>
      <w:proofErr w:type="spellStart"/>
      <w:r w:rsidR="00A639C7" w:rsidRPr="00840976">
        <w:rPr>
          <w:rFonts w:eastAsia="Calibri" w:cs="Times New Roman"/>
          <w:szCs w:val="24"/>
        </w:rPr>
        <w:t>Karaçi</w:t>
      </w:r>
      <w:proofErr w:type="spellEnd"/>
      <w:r w:rsidR="00913E84">
        <w:rPr>
          <w:rFonts w:eastAsia="Calibri" w:cs="Times New Roman"/>
          <w:szCs w:val="24"/>
        </w:rPr>
        <w:t>,</w:t>
      </w:r>
      <w:r w:rsidR="00A639C7" w:rsidRPr="00840976">
        <w:rPr>
          <w:rFonts w:eastAsia="Calibri" w:cs="Times New Roman"/>
          <w:szCs w:val="24"/>
        </w:rPr>
        <w:t xml:space="preserve"> 1415, XIII, 80)</w:t>
      </w:r>
      <w:r w:rsidR="00A639C7">
        <w:rPr>
          <w:rFonts w:eastAsia="Calibri" w:cs="Times New Roman"/>
          <w:szCs w:val="24"/>
        </w:rPr>
        <w:t>.</w:t>
      </w:r>
      <w:r w:rsidRPr="00840976">
        <w:rPr>
          <w:rFonts w:eastAsia="Calibri" w:cs="Times New Roman"/>
          <w:szCs w:val="24"/>
        </w:rPr>
        <w:t xml:space="preserve">       </w:t>
      </w:r>
    </w:p>
    <w:p w14:paraId="10164596" w14:textId="507303AE" w:rsidR="00D93CCA" w:rsidRPr="006F1016" w:rsidRDefault="006F1016" w:rsidP="006F1016">
      <w:pPr>
        <w:jc w:val="both"/>
        <w:rPr>
          <w:rFonts w:eastAsia="Calibri" w:cs="Times New Roman"/>
          <w:szCs w:val="24"/>
        </w:rPr>
      </w:pPr>
      <w:r w:rsidRPr="006F1016">
        <w:rPr>
          <w:rFonts w:eastAsia="Calibri" w:cs="Times New Roman"/>
          <w:szCs w:val="24"/>
        </w:rPr>
        <w:t xml:space="preserve">Ortaklık payının gerek ortaklardan birine gerekse üçüncü bir kişiye devredilme ihtimali söz konusu olabilir. Payın üçüncü kişiye devredilmesi halinde ortaklığa yeni bir kişi girmiş olacağından bu yeni kişinin diğer ortaklar ve ortaklık yapısı ile uyumlu olması, birlikte iş yapma kültürü bakımından önemli görülebilir. Bu sebeple üçüncü kişinin ortaklığa dahil olması diğer ortakların buna onay vermesine bağlıdır. </w:t>
      </w:r>
      <w:r w:rsidR="00D93CCA" w:rsidRPr="006F1016">
        <w:rPr>
          <w:rFonts w:eastAsia="Calibri" w:cs="Times New Roman"/>
          <w:szCs w:val="24"/>
        </w:rPr>
        <w:t xml:space="preserve">                                             </w:t>
      </w:r>
    </w:p>
    <w:p w14:paraId="41783D3F" w14:textId="4DA4282B" w:rsidR="00D93CCA" w:rsidRPr="00840976" w:rsidRDefault="00D93CCA" w:rsidP="00D93CCA">
      <w:pPr>
        <w:jc w:val="both"/>
        <w:rPr>
          <w:rFonts w:eastAsia="Calibri" w:cs="Times New Roman"/>
          <w:szCs w:val="24"/>
        </w:rPr>
      </w:pPr>
      <w:r w:rsidRPr="00840976">
        <w:rPr>
          <w:rFonts w:eastAsia="Calibri" w:cs="Times New Roman"/>
          <w:szCs w:val="24"/>
        </w:rPr>
        <w:t xml:space="preserve">İslam hukukuna göre kazancın meşru </w:t>
      </w:r>
      <w:proofErr w:type="gramStart"/>
      <w:r w:rsidRPr="00840976">
        <w:rPr>
          <w:rFonts w:eastAsia="Calibri" w:cs="Times New Roman"/>
          <w:szCs w:val="24"/>
        </w:rPr>
        <w:t>olması,</w:t>
      </w:r>
      <w:proofErr w:type="gramEnd"/>
      <w:r w:rsidRPr="00840976">
        <w:rPr>
          <w:rFonts w:eastAsia="Calibri" w:cs="Times New Roman"/>
          <w:szCs w:val="24"/>
        </w:rPr>
        <w:t xml:space="preserve"> </w:t>
      </w:r>
      <w:r w:rsidR="00BA63A9">
        <w:rPr>
          <w:rFonts w:eastAsia="Calibri" w:cs="Times New Roman"/>
          <w:szCs w:val="24"/>
        </w:rPr>
        <w:t xml:space="preserve">ya </w:t>
      </w:r>
      <w:r w:rsidRPr="00840976">
        <w:rPr>
          <w:rFonts w:eastAsia="Calibri" w:cs="Times New Roman"/>
          <w:szCs w:val="24"/>
        </w:rPr>
        <w:t>sermaye</w:t>
      </w:r>
      <w:r w:rsidR="00BA63A9">
        <w:rPr>
          <w:rFonts w:eastAsia="Calibri" w:cs="Times New Roman"/>
          <w:szCs w:val="24"/>
        </w:rPr>
        <w:t>ye</w:t>
      </w:r>
      <w:r w:rsidRPr="00840976">
        <w:rPr>
          <w:rFonts w:eastAsia="Calibri" w:cs="Times New Roman"/>
          <w:szCs w:val="24"/>
        </w:rPr>
        <w:t xml:space="preserve"> veya emeğe ya da </w:t>
      </w:r>
      <w:r w:rsidR="009726F5" w:rsidRPr="00840976">
        <w:rPr>
          <w:rFonts w:eastAsia="Calibri" w:cs="Times New Roman"/>
          <w:szCs w:val="24"/>
        </w:rPr>
        <w:t>hasar</w:t>
      </w:r>
      <w:r w:rsidR="00151ECC">
        <w:rPr>
          <w:rFonts w:eastAsia="Calibri" w:cs="Times New Roman"/>
          <w:szCs w:val="24"/>
        </w:rPr>
        <w:t xml:space="preserve"> </w:t>
      </w:r>
      <w:r w:rsidRPr="00840976">
        <w:rPr>
          <w:rFonts w:eastAsia="Calibri" w:cs="Times New Roman"/>
          <w:szCs w:val="24"/>
        </w:rPr>
        <w:t xml:space="preserve">sorumluluğunun </w:t>
      </w:r>
      <w:r w:rsidR="009726F5" w:rsidRPr="00840976">
        <w:rPr>
          <w:rFonts w:eastAsia="Calibri" w:cs="Times New Roman"/>
          <w:szCs w:val="24"/>
        </w:rPr>
        <w:t>(</w:t>
      </w:r>
      <w:proofErr w:type="spellStart"/>
      <w:r w:rsidR="009726F5" w:rsidRPr="00840976">
        <w:rPr>
          <w:rFonts w:eastAsia="Calibri" w:cs="Times New Roman"/>
          <w:szCs w:val="24"/>
        </w:rPr>
        <w:t>damân</w:t>
      </w:r>
      <w:proofErr w:type="spellEnd"/>
      <w:r w:rsidR="009726F5" w:rsidRPr="00840976">
        <w:rPr>
          <w:rFonts w:eastAsia="Calibri" w:cs="Times New Roman"/>
          <w:szCs w:val="24"/>
        </w:rPr>
        <w:t xml:space="preserve">) </w:t>
      </w:r>
      <w:r w:rsidRPr="00840976">
        <w:rPr>
          <w:rFonts w:eastAsia="Calibri" w:cs="Times New Roman"/>
          <w:szCs w:val="24"/>
        </w:rPr>
        <w:t>üstlenilmesine bağlıdır.</w:t>
      </w:r>
      <w:r w:rsidR="009726F5" w:rsidRPr="00840976">
        <w:rPr>
          <w:rFonts w:eastAsia="Calibri" w:cs="Times New Roman"/>
          <w:szCs w:val="24"/>
        </w:rPr>
        <w:t xml:space="preserve"> Bu sebeple hasar </w:t>
      </w:r>
      <w:r w:rsidRPr="00840976">
        <w:rPr>
          <w:rFonts w:eastAsia="Calibri" w:cs="Times New Roman"/>
          <w:szCs w:val="24"/>
        </w:rPr>
        <w:t>sorumluluğu</w:t>
      </w:r>
      <w:r w:rsidR="00BA63A9">
        <w:rPr>
          <w:rFonts w:eastAsia="Calibri" w:cs="Times New Roman"/>
          <w:szCs w:val="24"/>
        </w:rPr>
        <w:t>nun üstlenilmesi gereken işlemlerde</w:t>
      </w:r>
      <w:r w:rsidRPr="00840976">
        <w:rPr>
          <w:rFonts w:eastAsia="Calibri" w:cs="Times New Roman"/>
          <w:szCs w:val="24"/>
        </w:rPr>
        <w:t xml:space="preserve"> </w:t>
      </w:r>
      <w:r w:rsidR="00BA63A9">
        <w:rPr>
          <w:rFonts w:eastAsia="Calibri" w:cs="Times New Roman"/>
          <w:szCs w:val="24"/>
        </w:rPr>
        <w:t xml:space="preserve">bu sorumluluk </w:t>
      </w:r>
      <w:r w:rsidRPr="00840976">
        <w:rPr>
          <w:rFonts w:eastAsia="Calibri" w:cs="Times New Roman"/>
          <w:szCs w:val="24"/>
        </w:rPr>
        <w:t xml:space="preserve">üstlenilmeden elde edilen kâr </w:t>
      </w:r>
      <w:r w:rsidR="009726F5" w:rsidRPr="00840976">
        <w:rPr>
          <w:rFonts w:eastAsia="Calibri" w:cs="Times New Roman"/>
          <w:szCs w:val="24"/>
        </w:rPr>
        <w:t>meşru değildir</w:t>
      </w:r>
      <w:r w:rsidRPr="00840976">
        <w:rPr>
          <w:rFonts w:eastAsia="Calibri" w:cs="Times New Roman"/>
          <w:szCs w:val="24"/>
        </w:rPr>
        <w:t>. Nitekim Hz. Peygamber (</w:t>
      </w:r>
      <w:proofErr w:type="spellStart"/>
      <w:r w:rsidRPr="00840976">
        <w:rPr>
          <w:rFonts w:eastAsia="Calibri" w:cs="Times New Roman"/>
          <w:szCs w:val="24"/>
        </w:rPr>
        <w:t>s.</w:t>
      </w:r>
      <w:r w:rsidR="009C7EE6">
        <w:rPr>
          <w:rFonts w:eastAsia="Calibri" w:cs="Times New Roman"/>
          <w:szCs w:val="24"/>
        </w:rPr>
        <w:t>a</w:t>
      </w:r>
      <w:proofErr w:type="spellEnd"/>
      <w:r w:rsidR="009C7EE6">
        <w:rPr>
          <w:rFonts w:eastAsia="Calibri" w:cs="Times New Roman"/>
          <w:szCs w:val="24"/>
        </w:rPr>
        <w:t>.)</w:t>
      </w:r>
      <w:r w:rsidRPr="006952BB">
        <w:rPr>
          <w:rFonts w:eastAsia="Calibri" w:cs="Times New Roman"/>
          <w:i/>
          <w:iCs/>
          <w:szCs w:val="24"/>
        </w:rPr>
        <w:t xml:space="preserve"> “Kazanç</w:t>
      </w:r>
      <w:r w:rsidR="00151ECC" w:rsidRPr="006952BB">
        <w:rPr>
          <w:rFonts w:eastAsia="Calibri" w:cs="Times New Roman"/>
          <w:i/>
          <w:iCs/>
          <w:szCs w:val="24"/>
        </w:rPr>
        <w:t>,</w:t>
      </w:r>
      <w:r w:rsidRPr="006952BB">
        <w:rPr>
          <w:rFonts w:eastAsia="Calibri" w:cs="Times New Roman"/>
          <w:i/>
          <w:iCs/>
          <w:szCs w:val="24"/>
        </w:rPr>
        <w:t xml:space="preserve"> sorumlulu</w:t>
      </w:r>
      <w:r w:rsidR="009726F5" w:rsidRPr="006952BB">
        <w:rPr>
          <w:rFonts w:eastAsia="Calibri" w:cs="Times New Roman"/>
          <w:i/>
          <w:iCs/>
          <w:szCs w:val="24"/>
        </w:rPr>
        <w:t>k karşılığındadır</w:t>
      </w:r>
      <w:r w:rsidRPr="006952BB">
        <w:rPr>
          <w:rFonts w:eastAsia="Calibri" w:cs="Times New Roman"/>
          <w:i/>
          <w:iCs/>
          <w:szCs w:val="24"/>
        </w:rPr>
        <w:t>”</w:t>
      </w:r>
      <w:r w:rsidRPr="00840976">
        <w:rPr>
          <w:rFonts w:eastAsia="Calibri" w:cs="Times New Roman"/>
          <w:szCs w:val="24"/>
        </w:rPr>
        <w:t xml:space="preserve"> (İbn Mâce, “</w:t>
      </w:r>
      <w:proofErr w:type="spellStart"/>
      <w:r w:rsidRPr="00840976">
        <w:rPr>
          <w:rFonts w:eastAsia="Calibri" w:cs="Times New Roman"/>
          <w:szCs w:val="24"/>
        </w:rPr>
        <w:t>Ticârât</w:t>
      </w:r>
      <w:proofErr w:type="spellEnd"/>
      <w:r w:rsidRPr="00840976">
        <w:rPr>
          <w:rFonts w:eastAsia="Calibri" w:cs="Times New Roman"/>
          <w:szCs w:val="24"/>
        </w:rPr>
        <w:t xml:space="preserve">”, 43) buyurmuş ve buradan hareketle </w:t>
      </w:r>
      <w:r w:rsidRPr="006952BB">
        <w:rPr>
          <w:rFonts w:eastAsia="Calibri" w:cs="Times New Roman"/>
          <w:i/>
          <w:iCs/>
          <w:szCs w:val="24"/>
        </w:rPr>
        <w:t>“Mazarrat</w:t>
      </w:r>
      <w:r w:rsidR="00151ECC" w:rsidRPr="006952BB">
        <w:rPr>
          <w:rFonts w:eastAsia="Calibri" w:cs="Times New Roman"/>
          <w:i/>
          <w:iCs/>
          <w:szCs w:val="24"/>
        </w:rPr>
        <w:t>,</w:t>
      </w:r>
      <w:r w:rsidRPr="006952BB">
        <w:rPr>
          <w:rFonts w:eastAsia="Calibri" w:cs="Times New Roman"/>
          <w:i/>
          <w:iCs/>
          <w:szCs w:val="24"/>
        </w:rPr>
        <w:t xml:space="preserve"> menfaat mukabelesindedir”</w:t>
      </w:r>
      <w:r w:rsidRPr="00840976">
        <w:rPr>
          <w:rFonts w:eastAsia="Calibri" w:cs="Times New Roman"/>
          <w:szCs w:val="24"/>
        </w:rPr>
        <w:t xml:space="preserve"> (Mecelle </w:t>
      </w:r>
      <w:proofErr w:type="spellStart"/>
      <w:r w:rsidRPr="00840976">
        <w:rPr>
          <w:rFonts w:eastAsia="Calibri" w:cs="Times New Roman"/>
          <w:szCs w:val="24"/>
        </w:rPr>
        <w:t>md.</w:t>
      </w:r>
      <w:proofErr w:type="spellEnd"/>
      <w:r w:rsidRPr="00840976">
        <w:rPr>
          <w:rFonts w:eastAsia="Calibri" w:cs="Times New Roman"/>
          <w:szCs w:val="24"/>
        </w:rPr>
        <w:t xml:space="preserve"> 87) ve </w:t>
      </w:r>
      <w:r w:rsidRPr="006952BB">
        <w:rPr>
          <w:rFonts w:eastAsia="Calibri" w:cs="Times New Roman"/>
          <w:i/>
          <w:iCs/>
          <w:szCs w:val="24"/>
        </w:rPr>
        <w:t>“Külfet nimete ve nimet külfete göredir”</w:t>
      </w:r>
      <w:r w:rsidRPr="00840976">
        <w:rPr>
          <w:rFonts w:eastAsia="Calibri" w:cs="Times New Roman"/>
          <w:szCs w:val="24"/>
        </w:rPr>
        <w:t xml:space="preserve"> (Mecelle, </w:t>
      </w:r>
      <w:proofErr w:type="spellStart"/>
      <w:r w:rsidRPr="00840976">
        <w:rPr>
          <w:rFonts w:eastAsia="Calibri" w:cs="Times New Roman"/>
          <w:szCs w:val="24"/>
        </w:rPr>
        <w:t>md.</w:t>
      </w:r>
      <w:proofErr w:type="spellEnd"/>
      <w:r w:rsidRPr="00840976">
        <w:rPr>
          <w:rFonts w:eastAsia="Calibri" w:cs="Times New Roman"/>
          <w:szCs w:val="24"/>
        </w:rPr>
        <w:t xml:space="preserve"> 88) genel fıkıh kuralları tespit edilmiştir. Dolayısıyla ortaklardan birinin veya varsa yöneticinin, oluşacak zararın tamamını </w:t>
      </w:r>
      <w:r w:rsidR="00DC03B0">
        <w:rPr>
          <w:rFonts w:eastAsia="Calibri" w:cs="Times New Roman"/>
          <w:szCs w:val="24"/>
        </w:rPr>
        <w:t xml:space="preserve">ya da bir kısmını </w:t>
      </w:r>
      <w:r w:rsidRPr="00840976">
        <w:rPr>
          <w:rFonts w:eastAsia="Calibri" w:cs="Times New Roman"/>
          <w:szCs w:val="24"/>
        </w:rPr>
        <w:t xml:space="preserve">üstlenmesi </w:t>
      </w:r>
      <w:r w:rsidR="0074187E">
        <w:rPr>
          <w:rFonts w:eastAsia="Calibri" w:cs="Times New Roman"/>
          <w:szCs w:val="24"/>
        </w:rPr>
        <w:t xml:space="preserve">diğer </w:t>
      </w:r>
      <w:r w:rsidR="0074187E">
        <w:rPr>
          <w:rFonts w:eastAsia="Calibri" w:cs="Times New Roman"/>
          <w:szCs w:val="24"/>
        </w:rPr>
        <w:lastRenderedPageBreak/>
        <w:t xml:space="preserve">ortaklar açısından </w:t>
      </w:r>
      <w:r w:rsidRPr="00840976">
        <w:rPr>
          <w:rFonts w:eastAsia="Calibri" w:cs="Times New Roman"/>
          <w:szCs w:val="24"/>
        </w:rPr>
        <w:t xml:space="preserve">sermayenin garanti edilmesi anlamına geldiğinden caiz değildir. </w:t>
      </w:r>
      <w:r w:rsidR="0074187E">
        <w:rPr>
          <w:rFonts w:eastAsia="Calibri" w:cs="Times New Roman"/>
          <w:szCs w:val="24"/>
        </w:rPr>
        <w:t>Zira o</w:t>
      </w:r>
      <w:r w:rsidRPr="00840976">
        <w:rPr>
          <w:rFonts w:eastAsia="Calibri" w:cs="Times New Roman"/>
          <w:szCs w:val="24"/>
        </w:rPr>
        <w:t>rtaya çıkacak zararın, ortakların sermayedeki payları oranınca karşılanması, fakihlerin üzerinde ittifak ettikleri bir hükümdür (İbnü’l-</w:t>
      </w:r>
      <w:proofErr w:type="spellStart"/>
      <w:r w:rsidRPr="00840976">
        <w:rPr>
          <w:rFonts w:eastAsia="Calibri" w:cs="Times New Roman"/>
          <w:szCs w:val="24"/>
        </w:rPr>
        <w:t>Münzir</w:t>
      </w:r>
      <w:proofErr w:type="spellEnd"/>
      <w:r w:rsidRPr="00840976">
        <w:rPr>
          <w:rFonts w:eastAsia="Calibri" w:cs="Times New Roman"/>
          <w:szCs w:val="24"/>
        </w:rPr>
        <w:t xml:space="preserve">, </w:t>
      </w:r>
      <w:proofErr w:type="spellStart"/>
      <w:r w:rsidRPr="00151ECC">
        <w:rPr>
          <w:rFonts w:eastAsia="Calibri" w:cs="Times New Roman"/>
          <w:i/>
          <w:iCs/>
          <w:szCs w:val="24"/>
        </w:rPr>
        <w:t>Kitabü’l-</w:t>
      </w:r>
      <w:r w:rsidR="007A5A77">
        <w:rPr>
          <w:rFonts w:eastAsia="Calibri" w:cs="Times New Roman"/>
          <w:i/>
          <w:iCs/>
          <w:szCs w:val="24"/>
        </w:rPr>
        <w:t>İ</w:t>
      </w:r>
      <w:r w:rsidRPr="00151ECC">
        <w:rPr>
          <w:rFonts w:eastAsia="Calibri" w:cs="Times New Roman"/>
          <w:i/>
          <w:iCs/>
          <w:szCs w:val="24"/>
        </w:rPr>
        <w:t>cmâ</w:t>
      </w:r>
      <w:proofErr w:type="spellEnd"/>
      <w:r w:rsidRPr="00840976">
        <w:rPr>
          <w:rFonts w:eastAsia="Calibri" w:cs="Times New Roman"/>
          <w:szCs w:val="24"/>
        </w:rPr>
        <w:t>, Riyad</w:t>
      </w:r>
      <w:r w:rsidR="00913E84">
        <w:rPr>
          <w:rFonts w:eastAsia="Calibri" w:cs="Times New Roman"/>
          <w:szCs w:val="24"/>
        </w:rPr>
        <w:t>,</w:t>
      </w:r>
      <w:r w:rsidRPr="00840976">
        <w:rPr>
          <w:rFonts w:eastAsia="Calibri" w:cs="Times New Roman"/>
          <w:szCs w:val="24"/>
        </w:rPr>
        <w:t xml:space="preserve"> 2004, s. 100; İbn </w:t>
      </w:r>
      <w:proofErr w:type="spellStart"/>
      <w:r w:rsidRPr="00840976">
        <w:rPr>
          <w:rFonts w:eastAsia="Calibri" w:cs="Times New Roman"/>
          <w:szCs w:val="24"/>
        </w:rPr>
        <w:t>Hazm</w:t>
      </w:r>
      <w:proofErr w:type="spellEnd"/>
      <w:r w:rsidRPr="00840976">
        <w:rPr>
          <w:rFonts w:eastAsia="Calibri" w:cs="Times New Roman"/>
          <w:szCs w:val="24"/>
        </w:rPr>
        <w:t xml:space="preserve">, </w:t>
      </w:r>
      <w:proofErr w:type="spellStart"/>
      <w:r w:rsidRPr="00151ECC">
        <w:rPr>
          <w:rFonts w:eastAsia="Calibri" w:cs="Times New Roman"/>
          <w:i/>
          <w:iCs/>
          <w:szCs w:val="24"/>
        </w:rPr>
        <w:t>Merâtibü’l-</w:t>
      </w:r>
      <w:r w:rsidR="007A5A77">
        <w:rPr>
          <w:rFonts w:eastAsia="Calibri" w:cs="Times New Roman"/>
          <w:i/>
          <w:iCs/>
          <w:szCs w:val="24"/>
        </w:rPr>
        <w:t>i</w:t>
      </w:r>
      <w:r w:rsidRPr="00151ECC">
        <w:rPr>
          <w:rFonts w:eastAsia="Calibri" w:cs="Times New Roman"/>
          <w:i/>
          <w:iCs/>
          <w:szCs w:val="24"/>
        </w:rPr>
        <w:t>cmâ</w:t>
      </w:r>
      <w:proofErr w:type="spellEnd"/>
      <w:r w:rsidRPr="00840976">
        <w:rPr>
          <w:rFonts w:eastAsia="Calibri" w:cs="Times New Roman"/>
          <w:szCs w:val="24"/>
        </w:rPr>
        <w:t xml:space="preserve">, Beyrut </w:t>
      </w:r>
      <w:proofErr w:type="spellStart"/>
      <w:r w:rsidRPr="00840976">
        <w:rPr>
          <w:rFonts w:eastAsia="Calibri" w:cs="Times New Roman"/>
          <w:szCs w:val="24"/>
        </w:rPr>
        <w:t>t</w:t>
      </w:r>
      <w:r w:rsidR="00913E84">
        <w:rPr>
          <w:rFonts w:eastAsia="Calibri" w:cs="Times New Roman"/>
          <w:szCs w:val="24"/>
        </w:rPr>
        <w:t>y</w:t>
      </w:r>
      <w:proofErr w:type="spellEnd"/>
      <w:r w:rsidRPr="00840976">
        <w:rPr>
          <w:rFonts w:eastAsia="Calibri" w:cs="Times New Roman"/>
          <w:szCs w:val="24"/>
        </w:rPr>
        <w:t>., s. 91).</w:t>
      </w:r>
    </w:p>
    <w:p w14:paraId="3CD264BE" w14:textId="3859F63C" w:rsidR="00D93CCA" w:rsidRPr="00DF3397" w:rsidRDefault="00156F57" w:rsidP="00DF3397">
      <w:pPr>
        <w:pStyle w:val="ListeParagraf"/>
        <w:keepNext/>
        <w:keepLines/>
        <w:numPr>
          <w:ilvl w:val="0"/>
          <w:numId w:val="27"/>
        </w:numPr>
        <w:spacing w:before="240" w:after="240"/>
        <w:outlineLvl w:val="0"/>
        <w:rPr>
          <w:rFonts w:eastAsia="Times New Roman" w:cs="Times New Roman"/>
          <w:b/>
          <w:szCs w:val="32"/>
        </w:rPr>
      </w:pPr>
      <w:bookmarkStart w:id="47" w:name="_Toc170257376"/>
      <w:proofErr w:type="spellStart"/>
      <w:r w:rsidRPr="00DF3397">
        <w:rPr>
          <w:rFonts w:eastAsia="Times New Roman" w:cs="Times New Roman"/>
          <w:b/>
          <w:szCs w:val="32"/>
        </w:rPr>
        <w:t>Müşâreke</w:t>
      </w:r>
      <w:r w:rsidR="00D93CCA" w:rsidRPr="00DF3397">
        <w:rPr>
          <w:rFonts w:eastAsia="Times New Roman" w:cs="Times New Roman"/>
          <w:b/>
          <w:szCs w:val="32"/>
        </w:rPr>
        <w:t>de</w:t>
      </w:r>
      <w:proofErr w:type="spellEnd"/>
      <w:r w:rsidR="00D93CCA" w:rsidRPr="00DF3397">
        <w:rPr>
          <w:rFonts w:eastAsia="Times New Roman" w:cs="Times New Roman"/>
          <w:b/>
          <w:szCs w:val="32"/>
        </w:rPr>
        <w:t xml:space="preserve"> Kâr-Zarar ile İlgili Hükümlerin Gerekçeleri</w:t>
      </w:r>
      <w:bookmarkEnd w:id="47"/>
    </w:p>
    <w:p w14:paraId="6E6F921B" w14:textId="4528B551" w:rsidR="00D93CCA" w:rsidRPr="00840976" w:rsidRDefault="00156F57" w:rsidP="00D93CCA">
      <w:pPr>
        <w:jc w:val="both"/>
        <w:rPr>
          <w:rFonts w:eastAsia="Calibri" w:cs="Times New Roman"/>
          <w:szCs w:val="24"/>
        </w:rPr>
      </w:pPr>
      <w:proofErr w:type="spellStart"/>
      <w:r>
        <w:rPr>
          <w:rFonts w:eastAsia="Calibri" w:cs="Times New Roman"/>
          <w:szCs w:val="24"/>
        </w:rPr>
        <w:t>Müşâreke</w:t>
      </w:r>
      <w:r w:rsidR="00D93CCA" w:rsidRPr="00840976">
        <w:rPr>
          <w:rFonts w:eastAsia="Calibri" w:cs="Times New Roman"/>
          <w:szCs w:val="24"/>
        </w:rPr>
        <w:t>de</w:t>
      </w:r>
      <w:proofErr w:type="spellEnd"/>
      <w:r w:rsidR="00D93CCA" w:rsidRPr="00840976">
        <w:rPr>
          <w:rFonts w:eastAsia="Calibri" w:cs="Times New Roman"/>
          <w:szCs w:val="24"/>
        </w:rPr>
        <w:t xml:space="preserve"> kâr paylaşımı net bir tutar olarak değil oransal olarak belirlenmelidir. Kâr paylaşım oranının </w:t>
      </w:r>
      <w:r w:rsidR="00434B9C">
        <w:rPr>
          <w:rFonts w:eastAsia="Calibri" w:cs="Times New Roman"/>
          <w:szCs w:val="24"/>
        </w:rPr>
        <w:t>belirsiz</w:t>
      </w:r>
      <w:r w:rsidR="00D93CCA" w:rsidRPr="00840976">
        <w:rPr>
          <w:rFonts w:eastAsia="Calibri" w:cs="Times New Roman"/>
          <w:szCs w:val="24"/>
        </w:rPr>
        <w:t xml:space="preserve"> olması sonucunu doğuran durumlar </w:t>
      </w:r>
      <w:proofErr w:type="spellStart"/>
      <w:r>
        <w:rPr>
          <w:rFonts w:eastAsia="Calibri" w:cs="Times New Roman"/>
          <w:szCs w:val="24"/>
        </w:rPr>
        <w:t>müşâreke</w:t>
      </w:r>
      <w:r w:rsidR="00D93CCA" w:rsidRPr="00840976">
        <w:rPr>
          <w:rFonts w:eastAsia="Calibri" w:cs="Times New Roman"/>
          <w:szCs w:val="24"/>
        </w:rPr>
        <w:t>yi</w:t>
      </w:r>
      <w:proofErr w:type="spellEnd"/>
      <w:r w:rsidR="00D93CCA" w:rsidRPr="00840976">
        <w:rPr>
          <w:rFonts w:eastAsia="Calibri" w:cs="Times New Roman"/>
          <w:szCs w:val="24"/>
        </w:rPr>
        <w:t xml:space="preserve"> </w:t>
      </w:r>
      <w:r w:rsidR="00434B9C">
        <w:rPr>
          <w:rFonts w:eastAsia="Calibri" w:cs="Times New Roman"/>
          <w:szCs w:val="24"/>
        </w:rPr>
        <w:t>geçersiz (</w:t>
      </w:r>
      <w:r w:rsidR="00D93CCA" w:rsidRPr="00840976">
        <w:rPr>
          <w:rFonts w:eastAsia="Calibri" w:cs="Times New Roman"/>
          <w:szCs w:val="24"/>
        </w:rPr>
        <w:t>fasit</w:t>
      </w:r>
      <w:r w:rsidR="00434B9C">
        <w:rPr>
          <w:rFonts w:eastAsia="Calibri" w:cs="Times New Roman"/>
          <w:szCs w:val="24"/>
        </w:rPr>
        <w:t>)</w:t>
      </w:r>
      <w:r w:rsidR="00D93CCA" w:rsidRPr="00840976">
        <w:rPr>
          <w:rFonts w:eastAsia="Calibri" w:cs="Times New Roman"/>
          <w:szCs w:val="24"/>
        </w:rPr>
        <w:t xml:space="preserve"> kılar. </w:t>
      </w:r>
      <w:r w:rsidR="007A5A77">
        <w:rPr>
          <w:rFonts w:eastAsia="Calibri" w:cs="Times New Roman"/>
          <w:szCs w:val="24"/>
        </w:rPr>
        <w:t>Dolayısıyla b</w:t>
      </w:r>
      <w:r w:rsidR="00D93CCA" w:rsidRPr="00840976">
        <w:rPr>
          <w:rFonts w:eastAsia="Calibri" w:cs="Times New Roman"/>
          <w:szCs w:val="24"/>
        </w:rPr>
        <w:t xml:space="preserve">u tür durumları ortaya çıkaracak olan şartlar ileri sürülemez. Kâr paylaşım oranları kâr ortaya çıkmadan </w:t>
      </w:r>
      <w:r w:rsidR="00434B9C">
        <w:rPr>
          <w:rFonts w:eastAsia="Calibri" w:cs="Times New Roman"/>
          <w:szCs w:val="24"/>
        </w:rPr>
        <w:t>tespit edilmelidir</w:t>
      </w:r>
      <w:r w:rsidR="00D93CCA" w:rsidRPr="00840976">
        <w:rPr>
          <w:rFonts w:eastAsia="Calibri" w:cs="Times New Roman"/>
          <w:szCs w:val="24"/>
        </w:rPr>
        <w:t xml:space="preserve">. Çünkü hem kârın oransal olarak belirlenmemesi hem de ortaklık fiilen başladıktan </w:t>
      </w:r>
      <w:r w:rsidR="003C22DF" w:rsidRPr="00840976">
        <w:rPr>
          <w:rFonts w:eastAsia="Calibri" w:cs="Times New Roman"/>
          <w:szCs w:val="24"/>
        </w:rPr>
        <w:t xml:space="preserve">ve </w:t>
      </w:r>
      <w:r w:rsidR="00D93CCA" w:rsidRPr="00840976">
        <w:rPr>
          <w:rFonts w:eastAsia="Calibri" w:cs="Times New Roman"/>
          <w:szCs w:val="24"/>
        </w:rPr>
        <w:t xml:space="preserve">kâr elde edildikten sonra belirlenmesi akdin </w:t>
      </w:r>
      <w:r w:rsidR="003C22DF" w:rsidRPr="00840976">
        <w:rPr>
          <w:rFonts w:eastAsia="Calibri" w:cs="Times New Roman"/>
          <w:szCs w:val="24"/>
        </w:rPr>
        <w:t>gayesi ve işleyişinde bilinmezlikler</w:t>
      </w:r>
      <w:r w:rsidR="003C22DF" w:rsidRPr="00840976">
        <w:rPr>
          <w:rFonts w:eastAsia="Calibri" w:cs="Times New Roman"/>
          <w:b/>
          <w:bCs/>
          <w:szCs w:val="24"/>
        </w:rPr>
        <w:t xml:space="preserve"> </w:t>
      </w:r>
      <w:r w:rsidR="003C22DF" w:rsidRPr="00840976">
        <w:rPr>
          <w:rFonts w:eastAsia="Calibri" w:cs="Times New Roman"/>
          <w:szCs w:val="24"/>
        </w:rPr>
        <w:t>ortaya çıkarması</w:t>
      </w:r>
      <w:r w:rsidR="00D93CCA" w:rsidRPr="00840976">
        <w:rPr>
          <w:rFonts w:eastAsia="Calibri" w:cs="Times New Roman"/>
          <w:szCs w:val="24"/>
        </w:rPr>
        <w:t xml:space="preserve"> dolayısıyla akdin </w:t>
      </w:r>
      <w:r w:rsidR="003C22DF" w:rsidRPr="00840976">
        <w:rPr>
          <w:rFonts w:eastAsia="Calibri" w:cs="Times New Roman"/>
          <w:szCs w:val="24"/>
        </w:rPr>
        <w:t>geçersiz (</w:t>
      </w:r>
      <w:r w:rsidR="00D93CCA" w:rsidRPr="00840976">
        <w:rPr>
          <w:rFonts w:eastAsia="Calibri" w:cs="Times New Roman"/>
          <w:szCs w:val="24"/>
        </w:rPr>
        <w:t>fasit</w:t>
      </w:r>
      <w:r w:rsidR="003C22DF" w:rsidRPr="00840976">
        <w:rPr>
          <w:rFonts w:eastAsia="Calibri" w:cs="Times New Roman"/>
          <w:szCs w:val="24"/>
        </w:rPr>
        <w:t>)</w:t>
      </w:r>
      <w:r w:rsidR="00D93CCA" w:rsidRPr="00840976">
        <w:rPr>
          <w:rFonts w:eastAsia="Calibri" w:cs="Times New Roman"/>
          <w:szCs w:val="24"/>
        </w:rPr>
        <w:t xml:space="preserve"> olmasına sebebiyet vermektedir (Mecelle, </w:t>
      </w:r>
      <w:proofErr w:type="spellStart"/>
      <w:r w:rsidR="00D93CCA" w:rsidRPr="00840976">
        <w:rPr>
          <w:rFonts w:eastAsia="Calibri" w:cs="Times New Roman"/>
          <w:szCs w:val="24"/>
        </w:rPr>
        <w:t>md.</w:t>
      </w:r>
      <w:proofErr w:type="spellEnd"/>
      <w:r w:rsidR="00D93CCA" w:rsidRPr="00840976">
        <w:rPr>
          <w:rFonts w:eastAsia="Calibri" w:cs="Times New Roman"/>
          <w:szCs w:val="24"/>
        </w:rPr>
        <w:t xml:space="preserve"> 1336). </w:t>
      </w:r>
    </w:p>
    <w:p w14:paraId="494501C8" w14:textId="0DB0C835" w:rsidR="00D93CCA" w:rsidRPr="00840976" w:rsidRDefault="00D93CCA" w:rsidP="00D93CCA">
      <w:pPr>
        <w:jc w:val="both"/>
        <w:rPr>
          <w:rFonts w:eastAsia="Calibri" w:cs="Times New Roman"/>
          <w:szCs w:val="24"/>
        </w:rPr>
      </w:pPr>
      <w:bookmarkStart w:id="48" w:name="_Hlk180662560"/>
      <w:r w:rsidRPr="00840976">
        <w:rPr>
          <w:rFonts w:eastAsia="Calibri" w:cs="Times New Roman"/>
          <w:szCs w:val="24"/>
        </w:rPr>
        <w:t xml:space="preserve">Kâr paylaşım oranları ortakların sermayeleri miktarınca olabilir. Ortaklardan birinin veya birkaçının sermayeyi işletme görevi olması buna engel teşkil etmez (Mecelle, </w:t>
      </w:r>
      <w:proofErr w:type="spellStart"/>
      <w:r w:rsidRPr="00840976">
        <w:rPr>
          <w:rFonts w:eastAsia="Calibri" w:cs="Times New Roman"/>
          <w:szCs w:val="24"/>
        </w:rPr>
        <w:t>md.</w:t>
      </w:r>
      <w:proofErr w:type="spellEnd"/>
      <w:r w:rsidRPr="00840976">
        <w:rPr>
          <w:rFonts w:eastAsia="Calibri" w:cs="Times New Roman"/>
          <w:szCs w:val="24"/>
        </w:rPr>
        <w:t xml:space="preserve"> 1349, 1370). İslam hukukuna uygun olmak şartıyla kâr paylaşım oranları ortaklar arasında sermaye oranlarından farklı olabilir (Mecelle, </w:t>
      </w:r>
      <w:proofErr w:type="spellStart"/>
      <w:r w:rsidRPr="00840976">
        <w:rPr>
          <w:rFonts w:eastAsia="Calibri" w:cs="Times New Roman"/>
          <w:szCs w:val="24"/>
        </w:rPr>
        <w:t>md.</w:t>
      </w:r>
      <w:proofErr w:type="spellEnd"/>
      <w:r w:rsidRPr="00840976">
        <w:rPr>
          <w:rFonts w:eastAsia="Calibri" w:cs="Times New Roman"/>
          <w:szCs w:val="24"/>
        </w:rPr>
        <w:t xml:space="preserve"> 1349). </w:t>
      </w:r>
    </w:p>
    <w:bookmarkEnd w:id="48"/>
    <w:p w14:paraId="776225C0" w14:textId="440CF4C2" w:rsidR="00D93CCA" w:rsidRPr="00840976" w:rsidRDefault="00156F57" w:rsidP="00D93CCA">
      <w:pPr>
        <w:jc w:val="both"/>
        <w:rPr>
          <w:rFonts w:eastAsia="Calibri" w:cs="Times New Roman"/>
          <w:szCs w:val="24"/>
        </w:rPr>
      </w:pPr>
      <w:proofErr w:type="spellStart"/>
      <w:r>
        <w:rPr>
          <w:rFonts w:eastAsia="Calibri" w:cs="Times New Roman"/>
          <w:szCs w:val="24"/>
        </w:rPr>
        <w:t>Müşâreke</w:t>
      </w:r>
      <w:proofErr w:type="spellEnd"/>
      <w:r w:rsidR="00D93CCA" w:rsidRPr="00840976">
        <w:rPr>
          <w:rFonts w:eastAsia="Calibri" w:cs="Times New Roman"/>
          <w:szCs w:val="24"/>
        </w:rPr>
        <w:t>, iş birliğine dayalı bir sözleşme olduğundan, taraflar arasında karşılıklı rıza ve anlaşma temelinde kurul</w:t>
      </w:r>
      <w:r w:rsidR="003C22DF" w:rsidRPr="00840976">
        <w:rPr>
          <w:rFonts w:eastAsia="Calibri" w:cs="Times New Roman"/>
          <w:szCs w:val="24"/>
        </w:rPr>
        <w:t>ur</w:t>
      </w:r>
      <w:r w:rsidR="00D93CCA" w:rsidRPr="00840976">
        <w:rPr>
          <w:rFonts w:eastAsia="Calibri" w:cs="Times New Roman"/>
          <w:szCs w:val="24"/>
        </w:rPr>
        <w:t xml:space="preserve">. Bu kapsamda, </w:t>
      </w:r>
      <w:r>
        <w:rPr>
          <w:rFonts w:eastAsia="Calibri" w:cs="Times New Roman"/>
          <w:szCs w:val="24"/>
        </w:rPr>
        <w:t xml:space="preserve">kâr </w:t>
      </w:r>
      <w:r w:rsidR="00D93CCA" w:rsidRPr="00840976">
        <w:rPr>
          <w:rFonts w:eastAsia="Calibri" w:cs="Times New Roman"/>
          <w:szCs w:val="24"/>
        </w:rPr>
        <w:t xml:space="preserve">paylaşım oranları da tarafların belirlediği şartlar doğrultusunda esneklik gösterir ve dönemsel olarak </w:t>
      </w:r>
      <w:r w:rsidR="007A5A77">
        <w:rPr>
          <w:rFonts w:eastAsia="Calibri" w:cs="Times New Roman"/>
          <w:szCs w:val="24"/>
        </w:rPr>
        <w:t>dönemsel olarak yeniden düzenlenebilir</w:t>
      </w:r>
      <w:r w:rsidR="00D93CCA" w:rsidRPr="00840976">
        <w:rPr>
          <w:rFonts w:eastAsia="Calibri" w:cs="Times New Roman"/>
          <w:szCs w:val="24"/>
        </w:rPr>
        <w:t xml:space="preserve">. Bu esneklik, işletme faaliyetlerinin dinamik yapısına uygun olarak kârın âdil bir şekilde dağıtılmasına olanak sağlar. Nitekim </w:t>
      </w:r>
      <w:proofErr w:type="spellStart"/>
      <w:r>
        <w:rPr>
          <w:rFonts w:eastAsia="Calibri" w:cs="Times New Roman"/>
          <w:szCs w:val="24"/>
        </w:rPr>
        <w:t>müşâreke</w:t>
      </w:r>
      <w:proofErr w:type="spellEnd"/>
      <w:r w:rsidR="00D93CCA" w:rsidRPr="00840976">
        <w:rPr>
          <w:rFonts w:eastAsia="Calibri" w:cs="Times New Roman"/>
          <w:szCs w:val="24"/>
        </w:rPr>
        <w:t>, sermaye ortaklığı aracılığıyla kâr paylaşımını amaçlayan bir akit ol</w:t>
      </w:r>
      <w:r w:rsidR="007E161F">
        <w:rPr>
          <w:rFonts w:eastAsia="Calibri" w:cs="Times New Roman"/>
          <w:szCs w:val="24"/>
        </w:rPr>
        <w:t>duğundan,</w:t>
      </w:r>
      <w:r w:rsidR="00D93CCA" w:rsidRPr="00840976">
        <w:rPr>
          <w:rFonts w:eastAsia="Calibri" w:cs="Times New Roman"/>
          <w:szCs w:val="24"/>
        </w:rPr>
        <w:t xml:space="preserve"> </w:t>
      </w:r>
      <w:r w:rsidR="007E161F">
        <w:rPr>
          <w:rFonts w:eastAsia="Calibri" w:cs="Times New Roman"/>
          <w:szCs w:val="24"/>
        </w:rPr>
        <w:t xml:space="preserve">ortakların </w:t>
      </w:r>
      <w:r w:rsidR="00D93CCA" w:rsidRPr="00840976">
        <w:rPr>
          <w:rFonts w:eastAsia="Calibri" w:cs="Times New Roman"/>
          <w:szCs w:val="24"/>
        </w:rPr>
        <w:t>sözleşme sırasında kâr paylaşım oranları</w:t>
      </w:r>
      <w:r w:rsidR="007E161F">
        <w:rPr>
          <w:rFonts w:eastAsia="Calibri" w:cs="Times New Roman"/>
          <w:szCs w:val="24"/>
        </w:rPr>
        <w:t>nı</w:t>
      </w:r>
      <w:r w:rsidR="00D93CCA" w:rsidRPr="00840976">
        <w:rPr>
          <w:rFonts w:eastAsia="Calibri" w:cs="Times New Roman"/>
          <w:szCs w:val="24"/>
        </w:rPr>
        <w:t xml:space="preserve"> belirlemeleri esas olmakla birlikte,</w:t>
      </w:r>
      <w:r w:rsidR="007E161F" w:rsidRPr="007E161F">
        <w:rPr>
          <w:rFonts w:eastAsia="Calibri" w:cs="Times New Roman"/>
          <w:szCs w:val="24"/>
        </w:rPr>
        <w:t xml:space="preserve"> </w:t>
      </w:r>
      <w:r w:rsidR="007E161F" w:rsidRPr="00840976">
        <w:rPr>
          <w:rFonts w:eastAsia="Calibri" w:cs="Times New Roman"/>
          <w:szCs w:val="24"/>
        </w:rPr>
        <w:t>ortaklık süresi içerisinde</w:t>
      </w:r>
      <w:r w:rsidR="00D93CCA" w:rsidRPr="00840976">
        <w:rPr>
          <w:rFonts w:eastAsia="Calibri" w:cs="Times New Roman"/>
          <w:szCs w:val="24"/>
        </w:rPr>
        <w:t xml:space="preserve"> karşılıklı rıza ve onay</w:t>
      </w:r>
      <w:r w:rsidR="007E161F">
        <w:rPr>
          <w:rFonts w:eastAsia="Calibri" w:cs="Times New Roman"/>
          <w:szCs w:val="24"/>
        </w:rPr>
        <w:t>larıyla</w:t>
      </w:r>
      <w:r w:rsidR="00D93CCA" w:rsidRPr="00840976">
        <w:rPr>
          <w:rFonts w:eastAsia="Calibri" w:cs="Times New Roman"/>
          <w:szCs w:val="24"/>
        </w:rPr>
        <w:t xml:space="preserve"> bu oranı değiştirmelerinde de fıkh</w:t>
      </w:r>
      <w:r w:rsidR="009C7EE6">
        <w:rPr>
          <w:rFonts w:eastAsia="Calibri" w:cs="Times New Roman"/>
          <w:szCs w:val="24"/>
        </w:rPr>
        <w:t>î</w:t>
      </w:r>
      <w:r w:rsidR="00D93CCA" w:rsidRPr="00840976">
        <w:rPr>
          <w:rFonts w:eastAsia="Calibri" w:cs="Times New Roman"/>
          <w:szCs w:val="24"/>
        </w:rPr>
        <w:t xml:space="preserve"> bir engel yoktur. Taraflardan birinin akit kurulurken bu oranın değiştirilebileceğine dair şartlar ileri sürmesi, kâr paylaşım esaslı olan bu ortaklığa herhangi bir zarar vermediği gibi, taraflar arasında </w:t>
      </w:r>
      <w:r w:rsidR="009C7EE6">
        <w:rPr>
          <w:rFonts w:eastAsia="Calibri" w:cs="Times New Roman"/>
          <w:szCs w:val="24"/>
        </w:rPr>
        <w:t>hukukî</w:t>
      </w:r>
      <w:r w:rsidR="00D93CCA" w:rsidRPr="00840976">
        <w:rPr>
          <w:rFonts w:eastAsia="Calibri" w:cs="Times New Roman"/>
          <w:szCs w:val="24"/>
        </w:rPr>
        <w:t xml:space="preserve"> bir çekişmeye de sebep olmamaktadır. </w:t>
      </w:r>
    </w:p>
    <w:p w14:paraId="0B4F3DA0" w14:textId="38E5B3DC" w:rsidR="00D93CCA" w:rsidRPr="00840976" w:rsidRDefault="00D93CCA" w:rsidP="006F1EDB">
      <w:pPr>
        <w:jc w:val="both"/>
        <w:rPr>
          <w:rFonts w:eastAsia="Calibri" w:cs="Times New Roman"/>
          <w:szCs w:val="24"/>
        </w:rPr>
      </w:pPr>
      <w:r w:rsidRPr="00840976">
        <w:rPr>
          <w:rFonts w:eastAsia="Calibri" w:cs="Times New Roman"/>
          <w:szCs w:val="24"/>
        </w:rPr>
        <w:t>Kâr oranının dönemsel olarak yeniden belirlen</w:t>
      </w:r>
      <w:r w:rsidR="006F1EDB" w:rsidRPr="00840976">
        <w:rPr>
          <w:rFonts w:eastAsia="Calibri" w:cs="Times New Roman"/>
          <w:szCs w:val="24"/>
        </w:rPr>
        <w:t>ebilmesi,</w:t>
      </w:r>
      <w:r w:rsidRPr="00840976">
        <w:rPr>
          <w:rFonts w:eastAsia="Calibri" w:cs="Times New Roman"/>
          <w:szCs w:val="24"/>
        </w:rPr>
        <w:t xml:space="preserve"> ortaklığın ihtiyaçlarına ve tarafların hedeflerine daha uygun bir </w:t>
      </w:r>
      <w:r w:rsidR="00156F57">
        <w:rPr>
          <w:rFonts w:eastAsia="Calibri" w:cs="Times New Roman"/>
          <w:szCs w:val="24"/>
        </w:rPr>
        <w:t xml:space="preserve">kâr </w:t>
      </w:r>
      <w:r w:rsidRPr="00840976">
        <w:rPr>
          <w:rFonts w:eastAsia="Calibri" w:cs="Times New Roman"/>
          <w:szCs w:val="24"/>
        </w:rPr>
        <w:t>paylaşımı düzenlemesine imk</w:t>
      </w:r>
      <w:r w:rsidR="00DF3397">
        <w:rPr>
          <w:rFonts w:eastAsia="Calibri" w:cs="Times New Roman"/>
          <w:szCs w:val="24"/>
        </w:rPr>
        <w:t>â</w:t>
      </w:r>
      <w:r w:rsidRPr="00840976">
        <w:rPr>
          <w:rFonts w:eastAsia="Calibri" w:cs="Times New Roman"/>
          <w:szCs w:val="24"/>
        </w:rPr>
        <w:t xml:space="preserve">n tanır. Ayrıca, belirli zaman aralıklarıyla </w:t>
      </w:r>
      <w:r w:rsidR="00156F57">
        <w:rPr>
          <w:rFonts w:eastAsia="Calibri" w:cs="Times New Roman"/>
          <w:szCs w:val="24"/>
        </w:rPr>
        <w:t>kâr</w:t>
      </w:r>
      <w:r w:rsidR="006F1EDB" w:rsidRPr="00840976">
        <w:rPr>
          <w:rFonts w:eastAsia="Calibri" w:cs="Times New Roman"/>
          <w:szCs w:val="24"/>
        </w:rPr>
        <w:t xml:space="preserve"> oranlarının </w:t>
      </w:r>
      <w:r w:rsidRPr="00840976">
        <w:rPr>
          <w:rFonts w:eastAsia="Calibri" w:cs="Times New Roman"/>
          <w:szCs w:val="24"/>
        </w:rPr>
        <w:t>yeniden düzenlenmesi, işletme sürekliliğini destekler ve taraflar arasındaki ilişkilerin uzun vadeli sağlam temellere dayanmasını sağlar.</w:t>
      </w:r>
    </w:p>
    <w:p w14:paraId="79FBD4CD" w14:textId="2867D67D" w:rsidR="00D93CCA" w:rsidRPr="00840976" w:rsidRDefault="00D93CCA" w:rsidP="00D93CCA">
      <w:pPr>
        <w:jc w:val="both"/>
        <w:rPr>
          <w:rFonts w:eastAsia="Calibri" w:cs="Times New Roman"/>
          <w:szCs w:val="24"/>
        </w:rPr>
      </w:pPr>
      <w:r w:rsidRPr="00840976">
        <w:rPr>
          <w:rFonts w:eastAsia="Calibri" w:cs="Times New Roman"/>
          <w:szCs w:val="24"/>
        </w:rPr>
        <w:t xml:space="preserve">Ortaklardan herhangi birinin kârdan oransal olmayan yani maktu bir tutar almasını şart koşmak </w:t>
      </w:r>
      <w:proofErr w:type="spellStart"/>
      <w:r w:rsidR="00156F57">
        <w:rPr>
          <w:rFonts w:eastAsia="Calibri" w:cs="Times New Roman"/>
          <w:szCs w:val="24"/>
        </w:rPr>
        <w:t>müşâreke</w:t>
      </w:r>
      <w:r w:rsidRPr="00840976">
        <w:rPr>
          <w:rFonts w:eastAsia="Calibri" w:cs="Times New Roman"/>
          <w:szCs w:val="24"/>
        </w:rPr>
        <w:t>yi</w:t>
      </w:r>
      <w:proofErr w:type="spellEnd"/>
      <w:r w:rsidRPr="00840976">
        <w:rPr>
          <w:rFonts w:eastAsia="Calibri" w:cs="Times New Roman"/>
          <w:szCs w:val="24"/>
        </w:rPr>
        <w:t xml:space="preserve"> </w:t>
      </w:r>
      <w:r w:rsidR="00DB1F0A" w:rsidRPr="00840976">
        <w:rPr>
          <w:rFonts w:eastAsia="Calibri" w:cs="Times New Roman"/>
          <w:szCs w:val="24"/>
        </w:rPr>
        <w:t>geçersiz (</w:t>
      </w:r>
      <w:r w:rsidRPr="00840976">
        <w:rPr>
          <w:rFonts w:eastAsia="Calibri" w:cs="Times New Roman"/>
          <w:szCs w:val="24"/>
        </w:rPr>
        <w:t>fasit</w:t>
      </w:r>
      <w:r w:rsidR="00DB1F0A" w:rsidRPr="00840976">
        <w:rPr>
          <w:rFonts w:eastAsia="Calibri" w:cs="Times New Roman"/>
          <w:szCs w:val="24"/>
        </w:rPr>
        <w:t>)</w:t>
      </w:r>
      <w:r w:rsidRPr="00840976">
        <w:rPr>
          <w:rFonts w:eastAsia="Calibri" w:cs="Times New Roman"/>
          <w:szCs w:val="24"/>
        </w:rPr>
        <w:t xml:space="preserve"> kılar. Adalet prensibi gereği hiçbir ortak kârdaki payından mahrum bırakılamaz. Ticari faaliyetlerde kâr elde etme ihtimali olduğu kadar</w:t>
      </w:r>
      <w:r w:rsidR="00DB1F0A" w:rsidRPr="00840976">
        <w:rPr>
          <w:rFonts w:eastAsia="Calibri" w:cs="Times New Roman"/>
          <w:szCs w:val="24"/>
        </w:rPr>
        <w:t>,</w:t>
      </w:r>
      <w:r w:rsidRPr="00840976">
        <w:rPr>
          <w:rFonts w:eastAsia="Calibri" w:cs="Times New Roman"/>
          <w:szCs w:val="24"/>
        </w:rPr>
        <w:t xml:space="preserve"> edememe veya zarar etme ihtimalleri de mevcuttur. Bu şartlar gözetildiğinde sermaye sahiplerinden birine veya birkaçına maktu bir kâr verileceğinin sözleşme şartları arasında yer alması </w:t>
      </w:r>
      <w:proofErr w:type="spellStart"/>
      <w:r w:rsidR="00156F57">
        <w:rPr>
          <w:rFonts w:eastAsia="Calibri" w:cs="Times New Roman"/>
          <w:szCs w:val="24"/>
        </w:rPr>
        <w:t>müşâreke</w:t>
      </w:r>
      <w:r w:rsidRPr="00840976">
        <w:rPr>
          <w:rFonts w:eastAsia="Calibri" w:cs="Times New Roman"/>
          <w:szCs w:val="24"/>
        </w:rPr>
        <w:t>nin</w:t>
      </w:r>
      <w:proofErr w:type="spellEnd"/>
      <w:r w:rsidRPr="00840976">
        <w:rPr>
          <w:rFonts w:eastAsia="Calibri" w:cs="Times New Roman"/>
          <w:szCs w:val="24"/>
        </w:rPr>
        <w:t xml:space="preserve"> esasını teşkil eden kârın paylaştırılması prensibine aykırılık teşkil e</w:t>
      </w:r>
      <w:r w:rsidR="00DB1F0A" w:rsidRPr="00840976">
        <w:rPr>
          <w:rFonts w:eastAsia="Calibri" w:cs="Times New Roman"/>
          <w:szCs w:val="24"/>
        </w:rPr>
        <w:t>der.</w:t>
      </w:r>
      <w:r w:rsidRPr="00840976">
        <w:rPr>
          <w:rFonts w:eastAsia="Calibri" w:cs="Times New Roman"/>
          <w:szCs w:val="24"/>
        </w:rPr>
        <w:t xml:space="preserve"> Zira anlaşmada şart koşulan bu maktu miktarın elde edileceği kesin değildir. Dolayısıyla ortaklardan birine maktu bir kârın verileceğinin sözleşmede şart koşulması </w:t>
      </w:r>
      <w:proofErr w:type="spellStart"/>
      <w:r w:rsidR="00156F57">
        <w:rPr>
          <w:rFonts w:eastAsia="Calibri" w:cs="Times New Roman"/>
          <w:szCs w:val="24"/>
        </w:rPr>
        <w:t>müşâreke</w:t>
      </w:r>
      <w:r w:rsidRPr="00840976">
        <w:rPr>
          <w:rFonts w:eastAsia="Calibri" w:cs="Times New Roman"/>
          <w:szCs w:val="24"/>
        </w:rPr>
        <w:t>nin</w:t>
      </w:r>
      <w:proofErr w:type="spellEnd"/>
      <w:r w:rsidRPr="00840976">
        <w:rPr>
          <w:rFonts w:eastAsia="Calibri" w:cs="Times New Roman"/>
          <w:szCs w:val="24"/>
        </w:rPr>
        <w:t xml:space="preserve"> özüne uygun </w:t>
      </w:r>
      <w:r w:rsidR="00DB1F0A" w:rsidRPr="00840976">
        <w:rPr>
          <w:rFonts w:eastAsia="Calibri" w:cs="Times New Roman"/>
          <w:szCs w:val="24"/>
        </w:rPr>
        <w:t>düşmez</w:t>
      </w:r>
      <w:r w:rsidRPr="00840976">
        <w:rPr>
          <w:rFonts w:eastAsia="Calibri" w:cs="Times New Roman"/>
          <w:szCs w:val="24"/>
        </w:rPr>
        <w:t xml:space="preserve"> (Mecelle, </w:t>
      </w:r>
      <w:proofErr w:type="spellStart"/>
      <w:r w:rsidRPr="00840976">
        <w:rPr>
          <w:rFonts w:eastAsia="Calibri" w:cs="Times New Roman"/>
          <w:szCs w:val="24"/>
        </w:rPr>
        <w:t>md.</w:t>
      </w:r>
      <w:proofErr w:type="spellEnd"/>
      <w:r w:rsidRPr="00840976">
        <w:rPr>
          <w:rFonts w:eastAsia="Calibri" w:cs="Times New Roman"/>
          <w:szCs w:val="24"/>
        </w:rPr>
        <w:t xml:space="preserve"> 1337)</w:t>
      </w:r>
      <w:r w:rsidR="00DB1F0A" w:rsidRPr="00840976">
        <w:rPr>
          <w:rFonts w:eastAsia="Calibri" w:cs="Times New Roman"/>
          <w:szCs w:val="24"/>
        </w:rPr>
        <w:t>.</w:t>
      </w:r>
      <w:r w:rsidRPr="00840976">
        <w:rPr>
          <w:rFonts w:eastAsia="Calibri" w:cs="Times New Roman"/>
          <w:szCs w:val="24"/>
        </w:rPr>
        <w:t xml:space="preserve"> Aynı zamanda ortaklardan birinin, sözleşmenin sonunda anaparasına ilave olarak maktu bir kâr miktarı talep etmesi, </w:t>
      </w:r>
      <w:proofErr w:type="spellStart"/>
      <w:r w:rsidR="00156F57">
        <w:rPr>
          <w:rFonts w:eastAsia="Calibri" w:cs="Times New Roman"/>
          <w:szCs w:val="24"/>
        </w:rPr>
        <w:t>müşâreke</w:t>
      </w:r>
      <w:r w:rsidRPr="00840976">
        <w:rPr>
          <w:rFonts w:eastAsia="Calibri" w:cs="Times New Roman"/>
          <w:szCs w:val="24"/>
        </w:rPr>
        <w:t>yi</w:t>
      </w:r>
      <w:proofErr w:type="spellEnd"/>
      <w:r w:rsidRPr="00840976">
        <w:rPr>
          <w:rFonts w:eastAsia="Calibri" w:cs="Times New Roman"/>
          <w:szCs w:val="24"/>
        </w:rPr>
        <w:t xml:space="preserve"> faizli bir işleme dönüştürür. Zira ifade edildiği üzere, kârın </w:t>
      </w:r>
      <w:r w:rsidRPr="00840976">
        <w:rPr>
          <w:rFonts w:eastAsia="Calibri" w:cs="Times New Roman"/>
          <w:szCs w:val="24"/>
        </w:rPr>
        <w:lastRenderedPageBreak/>
        <w:t xml:space="preserve">oluşup oluşmayacağı önceden bilinememektedir. Akdin taraflarından birisine sağlanan garanti bir ücret akdin muktezasına uygun değildir. Kârın oransal olarak tespit edilmesi ise bu sorunu gidermektedir. </w:t>
      </w:r>
    </w:p>
    <w:p w14:paraId="4D1FA6B8" w14:textId="762AC013" w:rsidR="00D93CCA" w:rsidRPr="006F1016" w:rsidRDefault="00DB1F0A" w:rsidP="006F1016">
      <w:pPr>
        <w:jc w:val="both"/>
        <w:rPr>
          <w:rFonts w:eastAsia="Calibri" w:cs="Times New Roman"/>
          <w:szCs w:val="24"/>
        </w:rPr>
      </w:pPr>
      <w:r w:rsidRPr="00840976">
        <w:rPr>
          <w:rFonts w:eastAsia="Calibri" w:cs="Times New Roman"/>
          <w:szCs w:val="24"/>
        </w:rPr>
        <w:t xml:space="preserve">Bununla birlikte </w:t>
      </w:r>
      <w:r w:rsidR="00D93CCA" w:rsidRPr="00840976">
        <w:rPr>
          <w:rFonts w:eastAsia="Calibri" w:cs="Times New Roman"/>
          <w:szCs w:val="24"/>
        </w:rPr>
        <w:t xml:space="preserve">kârın belirli bir miktarın üzerine çıkması durumunda belirlenen miktar üzerindeki kârın ortaklardan birine ait olmasının kararlaştırılması, </w:t>
      </w:r>
      <w:r w:rsidR="00B726B5">
        <w:rPr>
          <w:rFonts w:eastAsia="Calibri" w:cs="Times New Roman"/>
          <w:szCs w:val="24"/>
        </w:rPr>
        <w:t>ortak</w:t>
      </w:r>
      <w:r w:rsidR="00D93CCA" w:rsidRPr="00840976">
        <w:rPr>
          <w:rFonts w:eastAsia="Calibri" w:cs="Times New Roman"/>
          <w:szCs w:val="24"/>
        </w:rPr>
        <w:t>lardan birinin kârdan maktu bir tutar alması anlamına gelmez. Zira bu durumda baştan maktu bir kâr belirlenmiş olmamaktadır. Kâr oluşması halinde oluşan kâr hakkında bir işlem gerçekleştirilmektedir. Bu işlem İslam hukukuna göre akitte şart koşma kurallarına aykırı değildir (Ali el-</w:t>
      </w:r>
      <w:proofErr w:type="spellStart"/>
      <w:r w:rsidR="00D93CCA" w:rsidRPr="00840976">
        <w:rPr>
          <w:rFonts w:eastAsia="Calibri" w:cs="Times New Roman"/>
          <w:szCs w:val="24"/>
        </w:rPr>
        <w:t>Hafîf</w:t>
      </w:r>
      <w:proofErr w:type="spellEnd"/>
      <w:r w:rsidR="00D93CCA" w:rsidRPr="00840976">
        <w:rPr>
          <w:rFonts w:eastAsia="Calibri" w:cs="Times New Roman"/>
          <w:szCs w:val="24"/>
        </w:rPr>
        <w:t xml:space="preserve">, </w:t>
      </w:r>
      <w:proofErr w:type="spellStart"/>
      <w:r w:rsidR="00D93CCA" w:rsidRPr="00223952">
        <w:rPr>
          <w:rFonts w:eastAsia="Calibri" w:cs="Times New Roman"/>
          <w:i/>
          <w:iCs/>
          <w:szCs w:val="24"/>
        </w:rPr>
        <w:t>Ahkâmu’l-</w:t>
      </w:r>
      <w:r w:rsidR="006952BB">
        <w:rPr>
          <w:rFonts w:eastAsia="Calibri" w:cs="Times New Roman"/>
          <w:i/>
          <w:iCs/>
          <w:szCs w:val="24"/>
        </w:rPr>
        <w:t>m</w:t>
      </w:r>
      <w:r w:rsidR="00D93CCA" w:rsidRPr="00223952">
        <w:rPr>
          <w:rFonts w:eastAsia="Calibri" w:cs="Times New Roman"/>
          <w:i/>
          <w:iCs/>
          <w:szCs w:val="24"/>
        </w:rPr>
        <w:t>uâmelât</w:t>
      </w:r>
      <w:proofErr w:type="spellEnd"/>
      <w:r w:rsidR="00D93CCA" w:rsidRPr="00840976">
        <w:rPr>
          <w:rFonts w:eastAsia="Calibri" w:cs="Times New Roman"/>
          <w:szCs w:val="24"/>
        </w:rPr>
        <w:t xml:space="preserve">, </w:t>
      </w:r>
      <w:proofErr w:type="spellStart"/>
      <w:r w:rsidR="00D93CCA" w:rsidRPr="00840976">
        <w:rPr>
          <w:rFonts w:eastAsia="Calibri" w:cs="Times New Roman"/>
          <w:szCs w:val="24"/>
        </w:rPr>
        <w:t>Kâhire</w:t>
      </w:r>
      <w:proofErr w:type="spellEnd"/>
      <w:r w:rsidR="00D93CCA" w:rsidRPr="00840976">
        <w:rPr>
          <w:rFonts w:eastAsia="Calibri" w:cs="Times New Roman"/>
          <w:szCs w:val="24"/>
        </w:rPr>
        <w:t xml:space="preserve">, 1429/2008, 494; </w:t>
      </w:r>
      <w:proofErr w:type="spellStart"/>
      <w:r w:rsidR="00473041">
        <w:rPr>
          <w:rFonts w:eastAsia="Calibri" w:cs="Times New Roman"/>
          <w:szCs w:val="24"/>
        </w:rPr>
        <w:t>Mecmau’l-fıkhi’l-islâmî</w:t>
      </w:r>
      <w:r w:rsidR="00223952">
        <w:rPr>
          <w:rFonts w:eastAsia="Calibri" w:cs="Times New Roman"/>
          <w:szCs w:val="24"/>
        </w:rPr>
        <w:t>’</w:t>
      </w:r>
      <w:r w:rsidR="00D93CCA" w:rsidRPr="00840976">
        <w:rPr>
          <w:rFonts w:eastAsia="Calibri" w:cs="Times New Roman"/>
          <w:szCs w:val="24"/>
        </w:rPr>
        <w:t>nin</w:t>
      </w:r>
      <w:proofErr w:type="spellEnd"/>
      <w:r w:rsidR="00D93CCA" w:rsidRPr="00840976">
        <w:rPr>
          <w:rFonts w:eastAsia="Calibri" w:cs="Times New Roman"/>
          <w:szCs w:val="24"/>
        </w:rPr>
        <w:t xml:space="preserve"> 123 (13/5) no.lu kararı). Maktu bir ücret şart koşulduğunda her </w:t>
      </w:r>
      <w:r w:rsidR="00D83183" w:rsidRPr="00840976">
        <w:rPr>
          <w:rFonts w:eastAsia="Calibri" w:cs="Times New Roman"/>
          <w:szCs w:val="24"/>
        </w:rPr>
        <w:t>halükârda</w:t>
      </w:r>
      <w:r w:rsidR="00D93CCA" w:rsidRPr="00840976">
        <w:rPr>
          <w:rFonts w:eastAsia="Calibri" w:cs="Times New Roman"/>
          <w:szCs w:val="24"/>
        </w:rPr>
        <w:t xml:space="preserve"> ortak</w:t>
      </w:r>
      <w:r w:rsidR="00473041">
        <w:rPr>
          <w:rFonts w:eastAsia="Calibri" w:cs="Times New Roman"/>
          <w:szCs w:val="24"/>
        </w:rPr>
        <w:t>,</w:t>
      </w:r>
      <w:r w:rsidR="00D93CCA" w:rsidRPr="00840976">
        <w:rPr>
          <w:rFonts w:eastAsia="Calibri" w:cs="Times New Roman"/>
          <w:szCs w:val="24"/>
        </w:rPr>
        <w:t xml:space="preserve"> bu miktarı talep edebilmektedir. Belirli bir kârın üzerinde gerçekleşen kârda ise ortaklardan biri veya birkaçı lehine koşulması durumunda bu tür bir şart, teşvik primi mahiyeti taşır. Bu tür bir kâr, kâr paylaşımını belirsiz bir hale getirmediğinden ortaklığı </w:t>
      </w:r>
      <w:r w:rsidRPr="00840976">
        <w:rPr>
          <w:rFonts w:eastAsia="Calibri" w:cs="Times New Roman"/>
          <w:szCs w:val="24"/>
        </w:rPr>
        <w:t xml:space="preserve">geçersiz </w:t>
      </w:r>
      <w:r w:rsidR="00D93CCA" w:rsidRPr="00840976">
        <w:rPr>
          <w:rFonts w:eastAsia="Calibri" w:cs="Times New Roman"/>
          <w:szCs w:val="24"/>
        </w:rPr>
        <w:t>kılmaz. Dolayısıyla bu durum maktu bir kârın baştan itibaren ortaklardan birisi lehine şart koşulmasından ayrılmaktadır.</w:t>
      </w:r>
      <w:r w:rsidR="006F1016" w:rsidRPr="006F1016">
        <w:rPr>
          <w:rFonts w:ascii="Segoe UI" w:hAnsi="Segoe UI" w:cs="Segoe UI"/>
          <w:b/>
          <w:bCs/>
          <w:sz w:val="18"/>
          <w:szCs w:val="18"/>
        </w:rPr>
        <w:t xml:space="preserve"> </w:t>
      </w:r>
      <w:r w:rsidR="006F1016" w:rsidRPr="00DF3397">
        <w:rPr>
          <w:rFonts w:eastAsia="Calibri" w:cs="Times New Roman"/>
          <w:szCs w:val="24"/>
        </w:rPr>
        <w:t>Beklenen kârı aşan bu kısmın, çalışanları teşvik ve ödüllendirme amacıyla şirket çalışanlarına ait olacağı da kararlaştırılabilir</w:t>
      </w:r>
      <w:r w:rsidR="006F1016" w:rsidRPr="006F1016">
        <w:rPr>
          <w:rFonts w:eastAsia="Calibri" w:cs="Times New Roman"/>
          <w:szCs w:val="24"/>
        </w:rPr>
        <w:t>.</w:t>
      </w:r>
    </w:p>
    <w:p w14:paraId="7AF4BDF0" w14:textId="31F632A4" w:rsidR="006D5B91" w:rsidRPr="00840976" w:rsidRDefault="00156F57" w:rsidP="006D5B91">
      <w:pPr>
        <w:jc w:val="both"/>
        <w:rPr>
          <w:rFonts w:eastAsia="Calibri" w:cs="Times New Roman"/>
          <w:szCs w:val="24"/>
        </w:rPr>
      </w:pPr>
      <w:proofErr w:type="spellStart"/>
      <w:r>
        <w:rPr>
          <w:rFonts w:eastAsia="Calibri" w:cs="Times New Roman"/>
          <w:szCs w:val="24"/>
        </w:rPr>
        <w:t>Müşâreke</w:t>
      </w:r>
      <w:r w:rsidR="00D22516" w:rsidRPr="00840976">
        <w:rPr>
          <w:rFonts w:eastAsia="Calibri" w:cs="Times New Roman"/>
          <w:szCs w:val="24"/>
        </w:rPr>
        <w:t>de</w:t>
      </w:r>
      <w:proofErr w:type="spellEnd"/>
      <w:r w:rsidR="00D93CCA" w:rsidRPr="00840976">
        <w:rPr>
          <w:rFonts w:eastAsia="Calibri" w:cs="Times New Roman"/>
          <w:szCs w:val="24"/>
        </w:rPr>
        <w:t xml:space="preserve"> zarara katılımın ortakların sermayedeki paylarına göre olması, </w:t>
      </w:r>
      <w:r w:rsidR="00444885" w:rsidRPr="00840976">
        <w:rPr>
          <w:rFonts w:eastAsia="Calibri" w:cs="Times New Roman"/>
          <w:szCs w:val="24"/>
        </w:rPr>
        <w:t xml:space="preserve">bu </w:t>
      </w:r>
      <w:r w:rsidR="00D93CCA" w:rsidRPr="00840976">
        <w:rPr>
          <w:rFonts w:eastAsia="Calibri" w:cs="Times New Roman"/>
          <w:szCs w:val="24"/>
        </w:rPr>
        <w:t>sözleşme</w:t>
      </w:r>
      <w:r w:rsidR="00D22516" w:rsidRPr="00840976">
        <w:rPr>
          <w:rFonts w:eastAsia="Calibri" w:cs="Times New Roman"/>
          <w:szCs w:val="24"/>
        </w:rPr>
        <w:t xml:space="preserve"> türü</w:t>
      </w:r>
      <w:r w:rsidR="00D93CCA" w:rsidRPr="00840976">
        <w:rPr>
          <w:rFonts w:eastAsia="Calibri" w:cs="Times New Roman"/>
          <w:szCs w:val="24"/>
        </w:rPr>
        <w:t xml:space="preserve"> için </w:t>
      </w:r>
      <w:r w:rsidR="00444885" w:rsidRPr="00840976">
        <w:rPr>
          <w:rFonts w:eastAsia="Calibri" w:cs="Times New Roman"/>
          <w:szCs w:val="24"/>
        </w:rPr>
        <w:t>yerleşik bir hükümdür</w:t>
      </w:r>
      <w:r w:rsidR="00D93CCA" w:rsidRPr="00840976">
        <w:rPr>
          <w:rFonts w:eastAsia="Calibri" w:cs="Times New Roman"/>
          <w:szCs w:val="24"/>
        </w:rPr>
        <w:t xml:space="preserve">. </w:t>
      </w:r>
      <w:r w:rsidR="006D5B91" w:rsidRPr="00840976">
        <w:rPr>
          <w:rFonts w:eastAsia="Calibri" w:cs="Times New Roman"/>
          <w:szCs w:val="24"/>
        </w:rPr>
        <w:t>B</w:t>
      </w:r>
      <w:r w:rsidR="00D93CCA" w:rsidRPr="00840976">
        <w:rPr>
          <w:rFonts w:eastAsia="Calibri" w:cs="Times New Roman"/>
          <w:szCs w:val="24"/>
        </w:rPr>
        <w:t xml:space="preserve">azı ortakların zararı hiç üstlenmemeleri ya da belirli bir orana kadar üstlenmeleri sonucunu doğuran şartların koşulması </w:t>
      </w:r>
      <w:r w:rsidR="006D5B91" w:rsidRPr="00840976">
        <w:rPr>
          <w:rFonts w:eastAsia="Calibri" w:cs="Times New Roman"/>
          <w:szCs w:val="24"/>
        </w:rPr>
        <w:t xml:space="preserve">bu </w:t>
      </w:r>
      <w:r w:rsidR="00D22516" w:rsidRPr="00840976">
        <w:rPr>
          <w:rFonts w:eastAsia="Calibri" w:cs="Times New Roman"/>
          <w:szCs w:val="24"/>
        </w:rPr>
        <w:t>hükme</w:t>
      </w:r>
      <w:r w:rsidR="006D5B91" w:rsidRPr="00840976">
        <w:rPr>
          <w:rFonts w:eastAsia="Calibri" w:cs="Times New Roman"/>
          <w:szCs w:val="24"/>
        </w:rPr>
        <w:t xml:space="preserve"> aykırıdır</w:t>
      </w:r>
      <w:r w:rsidR="00D93CCA" w:rsidRPr="00840976">
        <w:rPr>
          <w:rFonts w:eastAsia="Calibri" w:cs="Times New Roman"/>
          <w:szCs w:val="24"/>
        </w:rPr>
        <w:t xml:space="preserve">. Ortaklık sözleşmesinde zararı sermaye miktarının altına düşürmeye dönük bu tür şartlar geçersiz olup ortakların mevcut zararı sermayedeki paylarına göre paylaşmaları gerekir. </w:t>
      </w:r>
    </w:p>
    <w:p w14:paraId="418CF77C" w14:textId="45AF5A6B" w:rsidR="00D93CCA" w:rsidRPr="00840976" w:rsidRDefault="00D93CCA" w:rsidP="006D5B91">
      <w:pPr>
        <w:jc w:val="both"/>
        <w:rPr>
          <w:rFonts w:eastAsia="Calibri" w:cs="Times New Roman"/>
          <w:szCs w:val="24"/>
        </w:rPr>
      </w:pPr>
      <w:r w:rsidRPr="00840976">
        <w:rPr>
          <w:rFonts w:eastAsia="Calibri" w:cs="Times New Roman"/>
          <w:szCs w:val="24"/>
        </w:rPr>
        <w:t>Zararın sermayedeki pay miktarınca dağıtılmasının gerekmesi ve bunun aksinin şart koşulmasının caiz olmaması</w:t>
      </w:r>
      <w:r w:rsidR="00D05E50">
        <w:rPr>
          <w:rFonts w:eastAsia="Calibri" w:cs="Times New Roman"/>
          <w:szCs w:val="24"/>
        </w:rPr>
        <w:t xml:space="preserve">, yukarıda da geçtiği gibi </w:t>
      </w:r>
      <w:r w:rsidRPr="00840976">
        <w:rPr>
          <w:rFonts w:eastAsia="Calibri" w:cs="Times New Roman"/>
          <w:szCs w:val="24"/>
        </w:rPr>
        <w:t>kârın, ortakların üzerinde anlaştıkları oranda</w:t>
      </w:r>
      <w:r w:rsidR="00D05E50">
        <w:rPr>
          <w:rFonts w:eastAsia="Calibri" w:cs="Times New Roman"/>
          <w:szCs w:val="24"/>
        </w:rPr>
        <w:t>,</w:t>
      </w:r>
      <w:r w:rsidRPr="00840976">
        <w:rPr>
          <w:rFonts w:eastAsia="Calibri" w:cs="Times New Roman"/>
          <w:szCs w:val="24"/>
        </w:rPr>
        <w:t xml:space="preserve"> zararın ise sermaye oranına göre paylaşılması gerektiğini hükme bağlayan rivayetler sebebiyledir</w:t>
      </w:r>
      <w:r w:rsidR="00D05E50">
        <w:rPr>
          <w:rFonts w:eastAsia="Calibri" w:cs="Times New Roman"/>
          <w:szCs w:val="24"/>
        </w:rPr>
        <w:t xml:space="preserve">. </w:t>
      </w:r>
      <w:r w:rsidRPr="00840976">
        <w:rPr>
          <w:rFonts w:eastAsia="Calibri" w:cs="Times New Roman"/>
          <w:szCs w:val="24"/>
        </w:rPr>
        <w:t xml:space="preserve">Diğer yandan ortaklardan birinin zararı üstlenmeksizin kârdan pay istemesi, karşılığı olmayan bir fazlalık talep etmek anlamına geleceğinden akdin ortaklıktan çıkarak faizli bir işleme benzemesine neden olmaktadır. </w:t>
      </w:r>
    </w:p>
    <w:p w14:paraId="57FF1B59" w14:textId="383825B4" w:rsidR="00D93CCA" w:rsidRPr="00840976" w:rsidRDefault="00D93CCA" w:rsidP="00D93CCA">
      <w:pPr>
        <w:jc w:val="both"/>
        <w:rPr>
          <w:rFonts w:eastAsia="Calibri" w:cs="Times New Roman"/>
          <w:szCs w:val="24"/>
        </w:rPr>
      </w:pPr>
      <w:r w:rsidRPr="00840976">
        <w:rPr>
          <w:rFonts w:eastAsia="Calibri" w:cs="Times New Roman"/>
          <w:szCs w:val="24"/>
        </w:rPr>
        <w:t xml:space="preserve">Zararı üstlenmenin şart koşulması caiz olmamakla birlikte, baştan şart koşulmamak, vaat edilmemek ve teamül haline getirilmemek kaydıyla, zararın bir kısmının veya tamamının teberru kabilinden bazı ortaklar tarafından üstlenilmesinde </w:t>
      </w:r>
      <w:r w:rsidR="00D22516" w:rsidRPr="00840976">
        <w:rPr>
          <w:rFonts w:eastAsia="Calibri" w:cs="Times New Roman"/>
          <w:szCs w:val="24"/>
        </w:rPr>
        <w:t xml:space="preserve">ise </w:t>
      </w:r>
      <w:r w:rsidRPr="00840976">
        <w:rPr>
          <w:rFonts w:eastAsia="Calibri" w:cs="Times New Roman"/>
          <w:szCs w:val="24"/>
        </w:rPr>
        <w:t>bir sakınca yoktur. Ancak bunun sözleşmede kararlaştırılması caiz değildir.</w:t>
      </w:r>
    </w:p>
    <w:p w14:paraId="70C91439" w14:textId="506D3A79" w:rsidR="00D93CCA" w:rsidRPr="00840976" w:rsidRDefault="00D93CCA" w:rsidP="00D93CCA">
      <w:pPr>
        <w:jc w:val="both"/>
        <w:rPr>
          <w:rFonts w:eastAsia="Calibri" w:cs="Times New Roman"/>
          <w:szCs w:val="24"/>
        </w:rPr>
      </w:pPr>
      <w:proofErr w:type="spellStart"/>
      <w:r w:rsidRPr="00840976">
        <w:rPr>
          <w:rFonts w:eastAsia="Calibri" w:cs="Times New Roman"/>
          <w:szCs w:val="24"/>
        </w:rPr>
        <w:t>Müşâreke</w:t>
      </w:r>
      <w:proofErr w:type="spellEnd"/>
      <w:r w:rsidRPr="00840976">
        <w:rPr>
          <w:rFonts w:eastAsia="Calibri" w:cs="Times New Roman"/>
          <w:szCs w:val="24"/>
        </w:rPr>
        <w:t xml:space="preserve"> akdinde ortaklığı yöneten ortak ve varsa yönetici, sermayeyi çalıştırma noktasında diğer ortakların vekilidir. Çünkü ortaklık sermayesini onların verdiği izinle çalıştırmaktadır. Vekilin sorumluluğu, elinde </w:t>
      </w:r>
      <w:r w:rsidR="00473041">
        <w:rPr>
          <w:rFonts w:eastAsia="Calibri" w:cs="Times New Roman"/>
          <w:szCs w:val="24"/>
        </w:rPr>
        <w:t xml:space="preserve">emanet niteliğinde </w:t>
      </w:r>
      <w:r w:rsidRPr="00840976">
        <w:rPr>
          <w:rFonts w:eastAsia="Calibri" w:cs="Times New Roman"/>
          <w:szCs w:val="24"/>
        </w:rPr>
        <w:t>bulunan sermayenin korunması ve çalıştırılması hususunda gerekli özeni göstermektir. Bu nedenle</w:t>
      </w:r>
      <w:r w:rsidRPr="00840976">
        <w:rPr>
          <w:rFonts w:eastAsia="Calibri" w:cs="Times New Roman"/>
          <w:b/>
          <w:bCs/>
          <w:szCs w:val="24"/>
        </w:rPr>
        <w:t xml:space="preserve"> </w:t>
      </w:r>
      <w:r w:rsidRPr="00840976">
        <w:rPr>
          <w:rFonts w:eastAsia="Calibri" w:cs="Times New Roman"/>
          <w:szCs w:val="24"/>
        </w:rPr>
        <w:t>yönetici, ortaklık sermayesini koruma ve işletme noktasında gerekli özeni göstermeme veya sözleşmeden kaynaklanan yükümlülüklerini yerine getirmeme durumunda kusurlu sayılacağından meydana gelen zarardan sorumlu olur.</w:t>
      </w:r>
    </w:p>
    <w:p w14:paraId="636D0611" w14:textId="1E3A7D2C" w:rsidR="00D93CCA" w:rsidRPr="00840976" w:rsidRDefault="00D93CCA" w:rsidP="009A3B2B">
      <w:pPr>
        <w:jc w:val="both"/>
        <w:rPr>
          <w:rFonts w:eastAsia="Calibri" w:cs="Times New Roman"/>
          <w:szCs w:val="24"/>
        </w:rPr>
      </w:pPr>
      <w:r w:rsidRPr="00840976">
        <w:rPr>
          <w:rFonts w:eastAsia="Calibri" w:cs="Times New Roman"/>
          <w:szCs w:val="24"/>
        </w:rPr>
        <w:t>Herhangi bir kusuru bulunmasa da yöneticinin meydana gelen zararı tek başına karşılamakla sorumlu olacağına ilişkin şartlar öne sürmek haksız kazanca sebep olacağı için geçersizdir ve zararın bu durumda da sermaye miktarına göre paylaştırılması gerekir.</w:t>
      </w:r>
      <w:r w:rsidR="00D22516" w:rsidRPr="00840976">
        <w:rPr>
          <w:rFonts w:eastAsia="Calibri" w:cs="Times New Roman"/>
          <w:szCs w:val="24"/>
        </w:rPr>
        <w:t xml:space="preserve"> </w:t>
      </w:r>
      <w:r w:rsidRPr="00840976">
        <w:rPr>
          <w:rFonts w:eastAsia="Calibri" w:cs="Times New Roman"/>
          <w:szCs w:val="24"/>
        </w:rPr>
        <w:t xml:space="preserve">İslam hukuku, yetki ve hakları kötüye kullanarak başkalarına zarar vermeyi </w:t>
      </w:r>
      <w:r w:rsidRPr="00840976">
        <w:rPr>
          <w:rFonts w:eastAsia="Calibri" w:cs="Times New Roman"/>
          <w:szCs w:val="24"/>
        </w:rPr>
        <w:lastRenderedPageBreak/>
        <w:t xml:space="preserve">yasaklamakta, böyle bir durum ortaya çıktığında da diğer kişilerin uğradığı zararları ve mağduriyetleri giderici önlemler ve tedbirler getirmektedir. </w:t>
      </w:r>
      <w:proofErr w:type="spellStart"/>
      <w:r w:rsidRPr="00840976">
        <w:rPr>
          <w:rFonts w:eastAsia="Calibri" w:cs="Times New Roman"/>
          <w:szCs w:val="24"/>
        </w:rPr>
        <w:t>Mecelle’nin</w:t>
      </w:r>
      <w:proofErr w:type="spellEnd"/>
      <w:r w:rsidRPr="00840976">
        <w:rPr>
          <w:rFonts w:eastAsia="Calibri" w:cs="Times New Roman"/>
          <w:szCs w:val="24"/>
        </w:rPr>
        <w:t xml:space="preserve"> 20. maddesi olan </w:t>
      </w:r>
      <w:r w:rsidRPr="006952BB">
        <w:rPr>
          <w:rFonts w:eastAsia="Calibri" w:cs="Times New Roman"/>
          <w:i/>
          <w:iCs/>
          <w:szCs w:val="24"/>
        </w:rPr>
        <w:t>“Zarar izale olunur”</w:t>
      </w:r>
      <w:r w:rsidRPr="00840976">
        <w:rPr>
          <w:rFonts w:eastAsia="Calibri" w:cs="Times New Roman"/>
          <w:szCs w:val="24"/>
        </w:rPr>
        <w:t xml:space="preserve"> prensibi de bu hukukî gayeye matuftur.</w:t>
      </w:r>
      <w:r w:rsidR="00A875C1" w:rsidRPr="00840976">
        <w:rPr>
          <w:rFonts w:eastAsia="Calibri" w:cs="Times New Roman"/>
          <w:szCs w:val="24"/>
        </w:rPr>
        <w:t xml:space="preserve"> Bu prensibe bağlı olarak bağış</w:t>
      </w:r>
      <w:r w:rsidRPr="00840976">
        <w:rPr>
          <w:rFonts w:eastAsia="Calibri" w:cs="Times New Roman"/>
          <w:szCs w:val="24"/>
        </w:rPr>
        <w:t>, alacaklardan feragat etme, ibra v</w:t>
      </w:r>
      <w:r w:rsidR="00826E8B">
        <w:rPr>
          <w:rFonts w:eastAsia="Calibri" w:cs="Times New Roman"/>
          <w:szCs w:val="24"/>
        </w:rPr>
        <w:t xml:space="preserve">b. </w:t>
      </w:r>
      <w:r w:rsidRPr="00840976">
        <w:rPr>
          <w:rFonts w:eastAsia="Calibri" w:cs="Times New Roman"/>
          <w:szCs w:val="24"/>
        </w:rPr>
        <w:t>karşılıksız kazandırma oluşturan ve sermayeyi riske atan işlemler</w:t>
      </w:r>
      <w:r w:rsidR="00A875C1" w:rsidRPr="00840976">
        <w:rPr>
          <w:rFonts w:eastAsia="Calibri" w:cs="Times New Roman"/>
          <w:szCs w:val="24"/>
        </w:rPr>
        <w:t>in doğurduğu</w:t>
      </w:r>
      <w:r w:rsidRPr="00840976">
        <w:rPr>
          <w:rFonts w:eastAsia="Calibri" w:cs="Times New Roman"/>
          <w:szCs w:val="24"/>
        </w:rPr>
        <w:t xml:space="preserve"> zararlardan doğrudan ilgili ortak veya yönetici sorumlu ol</w:t>
      </w:r>
      <w:r w:rsidR="00A875C1" w:rsidRPr="00840976">
        <w:rPr>
          <w:rFonts w:eastAsia="Calibri" w:cs="Times New Roman"/>
          <w:szCs w:val="24"/>
        </w:rPr>
        <w:t>ur</w:t>
      </w:r>
      <w:r w:rsidRPr="00840976">
        <w:rPr>
          <w:rFonts w:eastAsia="Calibri" w:cs="Times New Roman"/>
          <w:szCs w:val="24"/>
        </w:rPr>
        <w:t>. Ortaklık yöneticisinin sözleşme şartlarına uyup uymadığı ve kusurunun bulunup bulunmadığı ile ilgili ispat yükünün hangi tarafa ait olacağı sözleşmede taraflarca kararlaştırılabilir.</w:t>
      </w:r>
    </w:p>
    <w:p w14:paraId="688EAB8A" w14:textId="7D40EFF9" w:rsidR="00D93CCA" w:rsidRPr="00DF3397" w:rsidRDefault="00D93CCA" w:rsidP="006F1016">
      <w:pPr>
        <w:jc w:val="both"/>
        <w:rPr>
          <w:rFonts w:eastAsia="Calibri" w:cs="Times New Roman"/>
          <w:b/>
          <w:bCs/>
          <w:szCs w:val="24"/>
        </w:rPr>
      </w:pPr>
      <w:r w:rsidRPr="00840976">
        <w:rPr>
          <w:rFonts w:eastAsia="Calibri" w:cs="Times New Roman"/>
          <w:szCs w:val="24"/>
        </w:rPr>
        <w:t xml:space="preserve">Nihaî kâr-zarar hesaplaması, ortaklığın tasfiyesiyle yapılır. Ancak sözleşmenin uzun süreli kurulmuş olması durumunda tarafların ihtiyaçları göz önünde bulundurularak avans niteliğinde ödemeler yapılması </w:t>
      </w:r>
      <w:proofErr w:type="spellStart"/>
      <w:r w:rsidRPr="00840976">
        <w:rPr>
          <w:rFonts w:eastAsia="Calibri" w:cs="Times New Roman"/>
          <w:szCs w:val="24"/>
        </w:rPr>
        <w:t>müşâreke</w:t>
      </w:r>
      <w:proofErr w:type="spellEnd"/>
      <w:r w:rsidRPr="00840976">
        <w:rPr>
          <w:rFonts w:eastAsia="Calibri" w:cs="Times New Roman"/>
          <w:szCs w:val="24"/>
        </w:rPr>
        <w:t xml:space="preserve"> hükümleriyle çelişmez. Bu durumda alınan avans</w:t>
      </w:r>
      <w:r w:rsidR="009A3B2B" w:rsidRPr="00840976">
        <w:rPr>
          <w:rFonts w:eastAsia="Calibri" w:cs="Times New Roman"/>
          <w:szCs w:val="24"/>
        </w:rPr>
        <w:t>, bir</w:t>
      </w:r>
      <w:r w:rsidRPr="00840976">
        <w:rPr>
          <w:rFonts w:eastAsia="Calibri" w:cs="Times New Roman"/>
          <w:szCs w:val="24"/>
        </w:rPr>
        <w:t xml:space="preserve"> </w:t>
      </w:r>
      <w:proofErr w:type="spellStart"/>
      <w:r w:rsidRPr="00840976">
        <w:rPr>
          <w:rFonts w:eastAsia="Calibri" w:cs="Times New Roman"/>
          <w:szCs w:val="24"/>
        </w:rPr>
        <w:t>karz</w:t>
      </w:r>
      <w:proofErr w:type="spellEnd"/>
      <w:r w:rsidRPr="00840976">
        <w:rPr>
          <w:rFonts w:eastAsia="Calibri" w:cs="Times New Roman"/>
          <w:szCs w:val="24"/>
        </w:rPr>
        <w:t xml:space="preserve"> </w:t>
      </w:r>
      <w:r w:rsidR="009A3B2B" w:rsidRPr="00840976">
        <w:rPr>
          <w:rFonts w:eastAsia="Calibri" w:cs="Times New Roman"/>
          <w:szCs w:val="24"/>
        </w:rPr>
        <w:t xml:space="preserve">akdi mahiyetinde </w:t>
      </w:r>
      <w:r w:rsidRPr="00840976">
        <w:rPr>
          <w:rFonts w:eastAsia="Calibri" w:cs="Times New Roman"/>
          <w:szCs w:val="24"/>
        </w:rPr>
        <w:t>olup ileride yapılacak ara dönem hesaplamaları ya da nihaî tasfiye sonucunda kâr</w:t>
      </w:r>
      <w:r w:rsidR="00826E8B">
        <w:rPr>
          <w:rFonts w:eastAsia="Calibri" w:cs="Times New Roman"/>
          <w:szCs w:val="24"/>
        </w:rPr>
        <w:t>ına</w:t>
      </w:r>
      <w:r w:rsidRPr="00840976">
        <w:rPr>
          <w:rFonts w:eastAsia="Calibri" w:cs="Times New Roman"/>
          <w:szCs w:val="24"/>
        </w:rPr>
        <w:t xml:space="preserve"> veya zarar edildiğinin anlaşılması halinde sermayesine mahsup edilir.</w:t>
      </w:r>
      <w:r w:rsidR="006F1016">
        <w:rPr>
          <w:rFonts w:eastAsia="Calibri" w:cs="Times New Roman"/>
          <w:szCs w:val="24"/>
        </w:rPr>
        <w:t xml:space="preserve"> </w:t>
      </w:r>
      <w:r w:rsidR="006F1016" w:rsidRPr="006F1016">
        <w:rPr>
          <w:rFonts w:eastAsia="Calibri" w:cs="Times New Roman"/>
          <w:szCs w:val="24"/>
        </w:rPr>
        <w:t xml:space="preserve">Ortaklara avans niteliğinde yapılacak bu ödemeler için alınacak kararların oybirliği veya oyçokluğu ile alınması hususu </w:t>
      </w:r>
      <w:r w:rsidR="006F1016" w:rsidRPr="00DF3397">
        <w:rPr>
          <w:rFonts w:eastAsia="Calibri" w:cs="Times New Roman"/>
          <w:szCs w:val="24"/>
        </w:rPr>
        <w:t xml:space="preserve">bu Standardın </w:t>
      </w:r>
      <w:r w:rsidR="006F1016" w:rsidRPr="006F1016">
        <w:rPr>
          <w:rFonts w:eastAsia="Calibri" w:cs="Times New Roman"/>
          <w:szCs w:val="24"/>
        </w:rPr>
        <w:t>7</w:t>
      </w:r>
      <w:r w:rsidR="006F1016" w:rsidRPr="00DF3397">
        <w:rPr>
          <w:rFonts w:eastAsia="Calibri" w:cs="Times New Roman"/>
          <w:szCs w:val="24"/>
        </w:rPr>
        <w:t>. maddesi</w:t>
      </w:r>
      <w:r w:rsidR="006F1016" w:rsidRPr="006F1016">
        <w:rPr>
          <w:rFonts w:eastAsia="Calibri" w:cs="Times New Roman"/>
          <w:szCs w:val="24"/>
        </w:rPr>
        <w:t xml:space="preserve"> kapsamında değerlendiril</w:t>
      </w:r>
      <w:r w:rsidR="00826E8B">
        <w:rPr>
          <w:rFonts w:eastAsia="Calibri" w:cs="Times New Roman"/>
          <w:szCs w:val="24"/>
        </w:rPr>
        <w:t>ir</w:t>
      </w:r>
      <w:r w:rsidR="006F1016" w:rsidRPr="006F1016">
        <w:rPr>
          <w:rFonts w:eastAsia="Calibri" w:cs="Times New Roman"/>
          <w:szCs w:val="24"/>
        </w:rPr>
        <w:t>.</w:t>
      </w:r>
    </w:p>
    <w:p w14:paraId="4457C684" w14:textId="4CC24797" w:rsidR="00D93CCA" w:rsidRPr="00DF3397" w:rsidRDefault="00156F57" w:rsidP="00DF3397">
      <w:pPr>
        <w:pStyle w:val="ListeParagraf"/>
        <w:keepNext/>
        <w:keepLines/>
        <w:numPr>
          <w:ilvl w:val="0"/>
          <w:numId w:val="27"/>
        </w:numPr>
        <w:spacing w:before="240" w:after="240"/>
        <w:outlineLvl w:val="0"/>
        <w:rPr>
          <w:rFonts w:eastAsia="Times New Roman" w:cs="Times New Roman"/>
          <w:b/>
          <w:szCs w:val="32"/>
        </w:rPr>
      </w:pPr>
      <w:bookmarkStart w:id="49" w:name="_Toc170257377"/>
      <w:proofErr w:type="spellStart"/>
      <w:r w:rsidRPr="00DF3397">
        <w:rPr>
          <w:rFonts w:eastAsia="Times New Roman" w:cs="Times New Roman"/>
          <w:b/>
          <w:szCs w:val="32"/>
        </w:rPr>
        <w:t>Müşâreke</w:t>
      </w:r>
      <w:r w:rsidR="00D93CCA" w:rsidRPr="00DF3397">
        <w:rPr>
          <w:rFonts w:eastAsia="Times New Roman" w:cs="Times New Roman"/>
          <w:b/>
          <w:szCs w:val="32"/>
        </w:rPr>
        <w:t>nin</w:t>
      </w:r>
      <w:proofErr w:type="spellEnd"/>
      <w:r w:rsidR="00D93CCA" w:rsidRPr="00DF3397">
        <w:rPr>
          <w:rFonts w:eastAsia="Times New Roman" w:cs="Times New Roman"/>
          <w:b/>
          <w:szCs w:val="32"/>
        </w:rPr>
        <w:t xml:space="preserve"> Yönetimi ile İlgili Hükümlerin Gerekçeleri</w:t>
      </w:r>
      <w:bookmarkEnd w:id="49"/>
    </w:p>
    <w:p w14:paraId="766799AE" w14:textId="154BE9A2" w:rsidR="00D93CCA" w:rsidRPr="00840976" w:rsidRDefault="00D93CCA" w:rsidP="00D93CCA">
      <w:pPr>
        <w:jc w:val="both"/>
        <w:rPr>
          <w:rFonts w:eastAsia="Calibri" w:cs="Times New Roman"/>
          <w:b/>
          <w:bCs/>
          <w:szCs w:val="24"/>
        </w:rPr>
      </w:pPr>
      <w:r w:rsidRPr="00840976">
        <w:rPr>
          <w:rFonts w:eastAsia="Calibri" w:cs="Times New Roman"/>
          <w:szCs w:val="24"/>
        </w:rPr>
        <w:t>Ortaklığın yönetimi, sermayede payı bulunan bütün ortakların sahip oldukları bir haktır. Bu nedenle her bir ortak istemesi halinde şirket yönetimine aktif olarak katılabilir. Bununla birlikte ortakların sözleşme</w:t>
      </w:r>
      <w:r w:rsidR="006A0DE4">
        <w:rPr>
          <w:rFonts w:eastAsia="Calibri" w:cs="Times New Roman"/>
          <w:szCs w:val="24"/>
        </w:rPr>
        <w:t>yle</w:t>
      </w:r>
      <w:r w:rsidRPr="00840976">
        <w:rPr>
          <w:rFonts w:eastAsia="Calibri" w:cs="Times New Roman"/>
          <w:szCs w:val="24"/>
        </w:rPr>
        <w:t xml:space="preserve"> veya aldıkları bir kararla ortaklık yönetimini içlerinden bir veya birden çok kişiye bırakmaları ya da ortaklar dışında üçüncü bir kişiyi de yönetici olarak atamalarında fıkh</w:t>
      </w:r>
      <w:r w:rsidR="009C7EE6">
        <w:rPr>
          <w:rFonts w:eastAsia="Calibri" w:cs="Times New Roman"/>
          <w:szCs w:val="24"/>
        </w:rPr>
        <w:t>î</w:t>
      </w:r>
      <w:r w:rsidRPr="00840976">
        <w:rPr>
          <w:rFonts w:eastAsia="Calibri" w:cs="Times New Roman"/>
          <w:szCs w:val="24"/>
        </w:rPr>
        <w:t xml:space="preserve"> açıdan mahzur yoktur. </w:t>
      </w:r>
    </w:p>
    <w:p w14:paraId="7F7F9F58" w14:textId="17CBCBDD" w:rsidR="00D93CCA" w:rsidRPr="00840976" w:rsidRDefault="00156F57" w:rsidP="00A84D23">
      <w:pPr>
        <w:jc w:val="both"/>
        <w:rPr>
          <w:rFonts w:eastAsia="Calibri" w:cs="Times New Roman"/>
          <w:szCs w:val="24"/>
        </w:rPr>
      </w:pPr>
      <w:proofErr w:type="spellStart"/>
      <w:r>
        <w:rPr>
          <w:rFonts w:eastAsia="Calibri" w:cs="Times New Roman"/>
          <w:szCs w:val="24"/>
        </w:rPr>
        <w:t>Müşâreke</w:t>
      </w:r>
      <w:r w:rsidR="00D93CCA" w:rsidRPr="00840976">
        <w:rPr>
          <w:rFonts w:eastAsia="Calibri" w:cs="Times New Roman"/>
          <w:szCs w:val="24"/>
        </w:rPr>
        <w:t>de</w:t>
      </w:r>
      <w:proofErr w:type="spellEnd"/>
      <w:r w:rsidR="00D93CCA" w:rsidRPr="00840976">
        <w:rPr>
          <w:rFonts w:eastAsia="Calibri" w:cs="Times New Roman"/>
          <w:szCs w:val="24"/>
        </w:rPr>
        <w:t xml:space="preserve"> esas olan</w:t>
      </w:r>
      <w:r w:rsidR="00D05E50">
        <w:rPr>
          <w:rFonts w:eastAsia="Calibri" w:cs="Times New Roman"/>
          <w:szCs w:val="24"/>
        </w:rPr>
        <w:t>,</w:t>
      </w:r>
      <w:r w:rsidR="00D93CCA" w:rsidRPr="00840976">
        <w:rPr>
          <w:rFonts w:eastAsia="Calibri" w:cs="Times New Roman"/>
          <w:szCs w:val="24"/>
        </w:rPr>
        <w:t xml:space="preserve"> yönetimin bütün ortaklar tarafından üstlenilmesidir. Ancak ortaklardan yalnızca biri veya birkaçı diğer </w:t>
      </w:r>
      <w:r w:rsidR="00B726B5">
        <w:rPr>
          <w:rFonts w:eastAsia="Calibri" w:cs="Times New Roman"/>
          <w:szCs w:val="24"/>
        </w:rPr>
        <w:t>ortakların</w:t>
      </w:r>
      <w:r w:rsidR="00B726B5" w:rsidRPr="00840976">
        <w:rPr>
          <w:rFonts w:eastAsia="Calibri" w:cs="Times New Roman"/>
          <w:szCs w:val="24"/>
        </w:rPr>
        <w:t xml:space="preserve"> </w:t>
      </w:r>
      <w:r w:rsidR="00D93CCA" w:rsidRPr="00840976">
        <w:rPr>
          <w:rFonts w:eastAsia="Calibri" w:cs="Times New Roman"/>
          <w:szCs w:val="24"/>
        </w:rPr>
        <w:t xml:space="preserve">rızasıyla şirketin yönetimini üstlenebilir. Bu durumda kendi adına sürdürdüğü faaliyetleri asaleten, ortağı adına sürdürdüğü faaliyetleri vekaleten icra etmiş olur. Yönetici ortak, üstlendiği vekalet sorumluluğunu </w:t>
      </w:r>
      <w:r w:rsidR="00945710" w:rsidRPr="00840976">
        <w:rPr>
          <w:rFonts w:eastAsia="Calibri" w:cs="Times New Roman"/>
          <w:szCs w:val="24"/>
        </w:rPr>
        <w:t>herhangi bir karşılık almadan</w:t>
      </w:r>
      <w:r w:rsidR="00D93CCA" w:rsidRPr="00840976">
        <w:rPr>
          <w:rFonts w:eastAsia="Calibri" w:cs="Times New Roman"/>
          <w:szCs w:val="24"/>
        </w:rPr>
        <w:t xml:space="preserve"> sürdürebileceği gibi </w:t>
      </w:r>
      <w:r w:rsidR="001D6A2B" w:rsidRPr="00840976">
        <w:rPr>
          <w:rFonts w:eastAsia="Calibri" w:cs="Times New Roman"/>
          <w:szCs w:val="24"/>
        </w:rPr>
        <w:t>İslam hukukçularının çoğunluğuna göre</w:t>
      </w:r>
      <w:r w:rsidR="00D93CCA" w:rsidRPr="00840976">
        <w:rPr>
          <w:rFonts w:eastAsia="Calibri" w:cs="Times New Roman"/>
          <w:szCs w:val="24"/>
        </w:rPr>
        <w:t xml:space="preserve"> tarafların rızasıyla kararlaştırılan </w:t>
      </w:r>
      <w:r w:rsidR="00253487">
        <w:rPr>
          <w:rFonts w:eastAsia="Calibri" w:cs="Times New Roman"/>
          <w:szCs w:val="24"/>
        </w:rPr>
        <w:t>ilave bir kâr</w:t>
      </w:r>
      <w:r w:rsidR="00D93CCA" w:rsidRPr="00840976">
        <w:rPr>
          <w:rFonts w:eastAsia="Calibri" w:cs="Times New Roman"/>
          <w:szCs w:val="24"/>
        </w:rPr>
        <w:t xml:space="preserve"> karşılığında da icra edebilir</w:t>
      </w:r>
      <w:r w:rsidR="001D6A2B" w:rsidRPr="00840976">
        <w:rPr>
          <w:rFonts w:eastAsia="Calibri" w:cs="Times New Roman"/>
          <w:szCs w:val="24"/>
        </w:rPr>
        <w:t xml:space="preserve"> (</w:t>
      </w:r>
      <w:proofErr w:type="spellStart"/>
      <w:r w:rsidR="001D6A2B" w:rsidRPr="00840976">
        <w:rPr>
          <w:rFonts w:eastAsia="Calibri" w:cs="Times New Roman"/>
          <w:szCs w:val="24"/>
        </w:rPr>
        <w:t>Zeylaî</w:t>
      </w:r>
      <w:proofErr w:type="spellEnd"/>
      <w:r w:rsidR="001D6A2B" w:rsidRPr="00840976">
        <w:rPr>
          <w:rFonts w:eastAsia="Calibri" w:cs="Times New Roman"/>
          <w:szCs w:val="24"/>
        </w:rPr>
        <w:t xml:space="preserve">, </w:t>
      </w:r>
      <w:proofErr w:type="spellStart"/>
      <w:r w:rsidR="001D6A2B" w:rsidRPr="00D05E50">
        <w:rPr>
          <w:rFonts w:eastAsia="Calibri" w:cs="Times New Roman"/>
          <w:i/>
          <w:iCs/>
          <w:szCs w:val="24"/>
        </w:rPr>
        <w:t>Tebyînü’l-</w:t>
      </w:r>
      <w:r w:rsidR="00A84D23">
        <w:rPr>
          <w:rFonts w:eastAsia="Calibri" w:cs="Times New Roman"/>
          <w:i/>
          <w:iCs/>
          <w:szCs w:val="24"/>
        </w:rPr>
        <w:t>h</w:t>
      </w:r>
      <w:r w:rsidR="001D6A2B" w:rsidRPr="00D05E50">
        <w:rPr>
          <w:rFonts w:eastAsia="Calibri" w:cs="Times New Roman"/>
          <w:i/>
          <w:iCs/>
          <w:szCs w:val="24"/>
        </w:rPr>
        <w:t>akâik</w:t>
      </w:r>
      <w:proofErr w:type="spellEnd"/>
      <w:r w:rsidR="001D6A2B" w:rsidRPr="00840976">
        <w:rPr>
          <w:rFonts w:eastAsia="Calibri" w:cs="Times New Roman"/>
          <w:szCs w:val="24"/>
        </w:rPr>
        <w:t>,</w:t>
      </w:r>
      <w:r w:rsidR="00A84D23" w:rsidRPr="00A84D23">
        <w:t xml:space="preserve"> </w:t>
      </w:r>
      <w:r w:rsidR="00A84D23">
        <w:rPr>
          <w:rFonts w:eastAsia="Calibri" w:cs="Times New Roman"/>
          <w:szCs w:val="24"/>
        </w:rPr>
        <w:t>K</w:t>
      </w:r>
      <w:r w:rsidR="00A84D23" w:rsidRPr="00A84D23">
        <w:rPr>
          <w:rFonts w:eastAsia="Calibri" w:cs="Times New Roman"/>
          <w:szCs w:val="24"/>
        </w:rPr>
        <w:t>ahire</w:t>
      </w:r>
      <w:r w:rsidR="00A84D23">
        <w:rPr>
          <w:rFonts w:eastAsia="Calibri" w:cs="Times New Roman"/>
          <w:szCs w:val="24"/>
        </w:rPr>
        <w:t>,</w:t>
      </w:r>
      <w:r w:rsidR="00A84D23" w:rsidRPr="00A84D23">
        <w:rPr>
          <w:rFonts w:eastAsia="Calibri" w:cs="Times New Roman"/>
          <w:szCs w:val="24"/>
        </w:rPr>
        <w:t xml:space="preserve"> 1314</w:t>
      </w:r>
      <w:r w:rsidR="00A84D23">
        <w:rPr>
          <w:rFonts w:eastAsia="Calibri" w:cs="Times New Roman"/>
          <w:szCs w:val="24"/>
        </w:rPr>
        <w:t>,</w:t>
      </w:r>
      <w:r w:rsidR="001D6A2B" w:rsidRPr="00840976">
        <w:rPr>
          <w:rFonts w:eastAsia="Calibri" w:cs="Times New Roman"/>
          <w:szCs w:val="24"/>
        </w:rPr>
        <w:t xml:space="preserve"> </w:t>
      </w:r>
      <w:r w:rsidR="00D05E50">
        <w:rPr>
          <w:rFonts w:eastAsia="Calibri" w:cs="Times New Roman"/>
          <w:szCs w:val="24"/>
        </w:rPr>
        <w:t xml:space="preserve">III, </w:t>
      </w:r>
      <w:r w:rsidR="001D6A2B" w:rsidRPr="00840976">
        <w:rPr>
          <w:rFonts w:eastAsia="Calibri" w:cs="Times New Roman"/>
          <w:szCs w:val="24"/>
        </w:rPr>
        <w:t>31</w:t>
      </w:r>
      <w:r w:rsidR="00A84D23">
        <w:rPr>
          <w:rFonts w:eastAsia="Calibri" w:cs="Times New Roman"/>
          <w:szCs w:val="24"/>
        </w:rPr>
        <w:t>8;</w:t>
      </w:r>
      <w:r w:rsidR="00A84D23" w:rsidRPr="00A84D23">
        <w:t xml:space="preserve"> </w:t>
      </w:r>
      <w:proofErr w:type="spellStart"/>
      <w:r w:rsidR="00A84D23" w:rsidRPr="00A84D23">
        <w:rPr>
          <w:rFonts w:eastAsia="Calibri" w:cs="Times New Roman"/>
          <w:szCs w:val="24"/>
        </w:rPr>
        <w:t>Ruhaybânî</w:t>
      </w:r>
      <w:proofErr w:type="spellEnd"/>
      <w:r w:rsidR="00A84D23">
        <w:rPr>
          <w:rFonts w:eastAsia="Calibri" w:cs="Times New Roman"/>
          <w:szCs w:val="24"/>
        </w:rPr>
        <w:t>,</w:t>
      </w:r>
      <w:r w:rsidR="00A84D23" w:rsidRPr="00A84D23">
        <w:rPr>
          <w:rFonts w:eastAsia="Calibri" w:cs="Times New Roman"/>
          <w:szCs w:val="24"/>
        </w:rPr>
        <w:t xml:space="preserve"> </w:t>
      </w:r>
      <w:proofErr w:type="spellStart"/>
      <w:r w:rsidR="00A84D23" w:rsidRPr="00A84D23">
        <w:rPr>
          <w:rFonts w:eastAsia="Calibri" w:cs="Times New Roman"/>
          <w:i/>
          <w:iCs/>
          <w:szCs w:val="24"/>
        </w:rPr>
        <w:t>Metâlibu</w:t>
      </w:r>
      <w:proofErr w:type="spellEnd"/>
      <w:r w:rsidR="00A84D23" w:rsidRPr="00A84D23">
        <w:rPr>
          <w:rFonts w:eastAsia="Calibri" w:cs="Times New Roman"/>
          <w:i/>
          <w:iCs/>
          <w:szCs w:val="24"/>
        </w:rPr>
        <w:t xml:space="preserve"> </w:t>
      </w:r>
      <w:proofErr w:type="spellStart"/>
      <w:r w:rsidR="00A84D23" w:rsidRPr="00A84D23">
        <w:rPr>
          <w:rFonts w:eastAsia="Calibri" w:cs="Times New Roman"/>
          <w:i/>
          <w:iCs/>
          <w:szCs w:val="24"/>
        </w:rPr>
        <w:t>uli'n-nühâ</w:t>
      </w:r>
      <w:proofErr w:type="spellEnd"/>
      <w:r w:rsidR="00A84D23" w:rsidRPr="00A84D23">
        <w:rPr>
          <w:rFonts w:eastAsia="Calibri" w:cs="Times New Roman"/>
          <w:i/>
          <w:iCs/>
          <w:szCs w:val="24"/>
        </w:rPr>
        <w:t xml:space="preserve"> fi şerhi </w:t>
      </w:r>
      <w:proofErr w:type="spellStart"/>
      <w:r w:rsidR="00A84D23">
        <w:rPr>
          <w:rFonts w:eastAsia="Calibri" w:cs="Times New Roman"/>
          <w:i/>
          <w:iCs/>
          <w:szCs w:val="24"/>
        </w:rPr>
        <w:t>Ğ</w:t>
      </w:r>
      <w:r w:rsidR="00A84D23" w:rsidRPr="00A84D23">
        <w:rPr>
          <w:rFonts w:eastAsia="Calibri" w:cs="Times New Roman"/>
          <w:i/>
          <w:iCs/>
          <w:szCs w:val="24"/>
        </w:rPr>
        <w:t>âyeti'l-müntehâ</w:t>
      </w:r>
      <w:proofErr w:type="spellEnd"/>
      <w:r w:rsidR="00A84D23">
        <w:rPr>
          <w:rFonts w:eastAsia="Calibri" w:cs="Times New Roman"/>
          <w:szCs w:val="24"/>
        </w:rPr>
        <w:t xml:space="preserve">, by.,1994, III, </w:t>
      </w:r>
      <w:r w:rsidR="00A84D23" w:rsidRPr="00A84D23">
        <w:rPr>
          <w:rFonts w:eastAsia="Calibri" w:cs="Times New Roman"/>
          <w:szCs w:val="24"/>
        </w:rPr>
        <w:t>498</w:t>
      </w:r>
      <w:r w:rsidR="00A84D23">
        <w:rPr>
          <w:rFonts w:eastAsia="Calibri" w:cs="Times New Roman"/>
          <w:szCs w:val="24"/>
        </w:rPr>
        <w:t>)</w:t>
      </w:r>
      <w:r w:rsidR="00D83A81">
        <w:rPr>
          <w:rFonts w:eastAsia="Calibri" w:cs="Times New Roman"/>
          <w:szCs w:val="24"/>
        </w:rPr>
        <w:t>.</w:t>
      </w:r>
    </w:p>
    <w:p w14:paraId="3C2CE554" w14:textId="7C7AA3B3" w:rsidR="006A2103" w:rsidRPr="00840976" w:rsidRDefault="00D93CCA" w:rsidP="00D83A81">
      <w:pPr>
        <w:jc w:val="both"/>
        <w:rPr>
          <w:rFonts w:eastAsia="Calibri" w:cs="Times New Roman"/>
          <w:szCs w:val="24"/>
        </w:rPr>
      </w:pPr>
      <w:r w:rsidRPr="00840976">
        <w:rPr>
          <w:rFonts w:eastAsia="Calibri" w:cs="Times New Roman"/>
          <w:szCs w:val="24"/>
        </w:rPr>
        <w:t xml:space="preserve">Yönetici ortağın yukarıdaki seçenekler dışında üstlendiği yönetim karşılığında maktu bir ücret alması ise İslam hukukçularının çoğunluğunca caiz görülmemiştir. Zira bu durum, </w:t>
      </w:r>
      <w:r w:rsidR="00156F57">
        <w:rPr>
          <w:rFonts w:eastAsia="Calibri" w:cs="Times New Roman"/>
          <w:szCs w:val="24"/>
        </w:rPr>
        <w:t>kâr</w:t>
      </w:r>
      <w:r w:rsidRPr="00840976">
        <w:rPr>
          <w:rFonts w:eastAsia="Calibri" w:cs="Times New Roman"/>
          <w:szCs w:val="24"/>
        </w:rPr>
        <w:t xml:space="preserve">-zarar ortaklığı esasına dayanan </w:t>
      </w:r>
      <w:proofErr w:type="spellStart"/>
      <w:r w:rsidR="00156F57">
        <w:rPr>
          <w:rFonts w:eastAsia="Calibri" w:cs="Times New Roman"/>
          <w:szCs w:val="24"/>
        </w:rPr>
        <w:t>müşâreke</w:t>
      </w:r>
      <w:proofErr w:type="spellEnd"/>
      <w:r w:rsidRPr="00840976">
        <w:rPr>
          <w:rFonts w:eastAsia="Calibri" w:cs="Times New Roman"/>
          <w:szCs w:val="24"/>
        </w:rPr>
        <w:t xml:space="preserve"> sözleşmesinin mahiyetine aykırılık oluşturmakta, yönetici ortak aynı anda hem işveren hem de işçi statüsünde olmakta, işletmeden kâr elde edilememesi ya da yönetici ortak için belirlenen ücretten daha az </w:t>
      </w:r>
      <w:r w:rsidR="00156F57">
        <w:rPr>
          <w:rFonts w:eastAsia="Calibri" w:cs="Times New Roman"/>
          <w:szCs w:val="24"/>
        </w:rPr>
        <w:t>kâr</w:t>
      </w:r>
      <w:r w:rsidRPr="00840976">
        <w:rPr>
          <w:rFonts w:eastAsia="Calibri" w:cs="Times New Roman"/>
          <w:szCs w:val="24"/>
        </w:rPr>
        <w:t xml:space="preserve"> elde edilmesi gibi durumlarda, diğer ortak ya da ortakların aleyhine haksız bir sonuç meydana çıkmaktadır.</w:t>
      </w:r>
      <w:r w:rsidR="00D83A81">
        <w:rPr>
          <w:rFonts w:asciiTheme="majorBidi" w:hAnsiTheme="majorBidi" w:cstheme="majorBidi"/>
          <w:szCs w:val="24"/>
        </w:rPr>
        <w:t xml:space="preserve"> </w:t>
      </w:r>
      <w:bookmarkStart w:id="50" w:name="_Hlk187932095"/>
      <w:r w:rsidR="006A2103" w:rsidRPr="00DF3397">
        <w:rPr>
          <w:rFonts w:asciiTheme="majorBidi" w:hAnsiTheme="majorBidi" w:cstheme="majorBidi"/>
          <w:szCs w:val="24"/>
        </w:rPr>
        <w:t xml:space="preserve">Buna karşın şirketin yürütmek zorunda olduğu </w:t>
      </w:r>
      <w:r w:rsidR="006A0DE4">
        <w:rPr>
          <w:rFonts w:asciiTheme="majorBidi" w:hAnsiTheme="majorBidi" w:cstheme="majorBidi"/>
          <w:szCs w:val="24"/>
        </w:rPr>
        <w:t>işlerin</w:t>
      </w:r>
      <w:r w:rsidR="006A2103" w:rsidRPr="00DF3397">
        <w:rPr>
          <w:rFonts w:asciiTheme="majorBidi" w:hAnsiTheme="majorBidi" w:cstheme="majorBidi"/>
          <w:szCs w:val="24"/>
        </w:rPr>
        <w:t xml:space="preserve"> dışarıdan hizmet alımı ya da ücretli personel çalıştırmak suretiyle temin edilmesinin gerektiği durumlarda ortaklardan birisinin diğer</w:t>
      </w:r>
      <w:r w:rsidR="006A0DE4">
        <w:rPr>
          <w:rFonts w:asciiTheme="majorBidi" w:hAnsiTheme="majorBidi" w:cstheme="majorBidi"/>
          <w:szCs w:val="24"/>
        </w:rPr>
        <w:t xml:space="preserve"> </w:t>
      </w:r>
      <w:r w:rsidR="006A2103" w:rsidRPr="00DF3397">
        <w:rPr>
          <w:rFonts w:asciiTheme="majorBidi" w:hAnsiTheme="majorBidi" w:cstheme="majorBidi"/>
          <w:szCs w:val="24"/>
        </w:rPr>
        <w:t>ortakların rızasıyla emeğini bu işlere hasre</w:t>
      </w:r>
      <w:r w:rsidR="006A0DE4">
        <w:rPr>
          <w:rFonts w:asciiTheme="majorBidi" w:hAnsiTheme="majorBidi" w:cstheme="majorBidi"/>
          <w:szCs w:val="24"/>
        </w:rPr>
        <w:t xml:space="preserve">tmesi karşılığında kendisine </w:t>
      </w:r>
      <w:r w:rsidR="006A2103" w:rsidRPr="00DF3397">
        <w:rPr>
          <w:rFonts w:asciiTheme="majorBidi" w:hAnsiTheme="majorBidi" w:cstheme="majorBidi"/>
          <w:szCs w:val="24"/>
        </w:rPr>
        <w:t>maktu bir ücret ödemesi yapılabilir.</w:t>
      </w:r>
      <w:r w:rsidR="006A2103">
        <w:rPr>
          <w:rFonts w:asciiTheme="majorBidi" w:hAnsiTheme="majorBidi" w:cstheme="majorBidi"/>
          <w:szCs w:val="24"/>
        </w:rPr>
        <w:t xml:space="preserve"> </w:t>
      </w:r>
      <w:bookmarkEnd w:id="50"/>
    </w:p>
    <w:p w14:paraId="4A39BD25" w14:textId="76B2E43C" w:rsidR="00D93CCA" w:rsidRPr="00840976" w:rsidRDefault="00D93CCA" w:rsidP="00D93CCA">
      <w:pPr>
        <w:jc w:val="both"/>
        <w:rPr>
          <w:rFonts w:eastAsia="Calibri" w:cs="Times New Roman"/>
          <w:szCs w:val="24"/>
        </w:rPr>
      </w:pPr>
      <w:r w:rsidRPr="00840976">
        <w:rPr>
          <w:rFonts w:eastAsia="Calibri" w:cs="Times New Roman"/>
          <w:szCs w:val="24"/>
        </w:rPr>
        <w:t xml:space="preserve">Diğer yandan </w:t>
      </w:r>
      <w:r w:rsidR="001D6A2B" w:rsidRPr="00840976">
        <w:rPr>
          <w:rFonts w:eastAsia="Calibri" w:cs="Times New Roman"/>
          <w:szCs w:val="24"/>
        </w:rPr>
        <w:t xml:space="preserve">Zahirilere ve bazı </w:t>
      </w:r>
      <w:r w:rsidRPr="00840976">
        <w:rPr>
          <w:rFonts w:eastAsia="Calibri" w:cs="Times New Roman"/>
          <w:szCs w:val="24"/>
        </w:rPr>
        <w:t>Hanbel</w:t>
      </w:r>
      <w:r w:rsidR="009C7EE6">
        <w:rPr>
          <w:rFonts w:eastAsia="Calibri" w:cs="Times New Roman"/>
          <w:szCs w:val="24"/>
        </w:rPr>
        <w:t>î</w:t>
      </w:r>
      <w:r w:rsidRPr="00840976">
        <w:rPr>
          <w:rFonts w:eastAsia="Calibri" w:cs="Times New Roman"/>
          <w:szCs w:val="24"/>
        </w:rPr>
        <w:t>ler</w:t>
      </w:r>
      <w:r w:rsidR="001D6A2B" w:rsidRPr="00840976">
        <w:rPr>
          <w:rFonts w:eastAsia="Calibri" w:cs="Times New Roman"/>
          <w:szCs w:val="24"/>
        </w:rPr>
        <w:t xml:space="preserve">e </w:t>
      </w:r>
      <w:r w:rsidRPr="00840976">
        <w:rPr>
          <w:rFonts w:eastAsia="Calibri" w:cs="Times New Roman"/>
          <w:szCs w:val="24"/>
        </w:rPr>
        <w:t xml:space="preserve">göre ise (İbn </w:t>
      </w:r>
      <w:proofErr w:type="spellStart"/>
      <w:r w:rsidRPr="00840976">
        <w:rPr>
          <w:rFonts w:eastAsia="Calibri" w:cs="Times New Roman"/>
          <w:szCs w:val="24"/>
        </w:rPr>
        <w:t>Hazm</w:t>
      </w:r>
      <w:proofErr w:type="spellEnd"/>
      <w:r w:rsidRPr="000701D5">
        <w:rPr>
          <w:rFonts w:eastAsia="Calibri" w:cs="Times New Roman"/>
          <w:i/>
          <w:iCs/>
          <w:szCs w:val="24"/>
        </w:rPr>
        <w:t>, el-</w:t>
      </w:r>
      <w:proofErr w:type="spellStart"/>
      <w:r w:rsidRPr="000701D5">
        <w:rPr>
          <w:rFonts w:eastAsia="Calibri" w:cs="Times New Roman"/>
          <w:i/>
          <w:iCs/>
          <w:szCs w:val="24"/>
        </w:rPr>
        <w:t>Muhallâ</w:t>
      </w:r>
      <w:proofErr w:type="spellEnd"/>
      <w:r w:rsidRPr="00840976">
        <w:rPr>
          <w:rFonts w:eastAsia="Calibri" w:cs="Times New Roman"/>
          <w:szCs w:val="24"/>
        </w:rPr>
        <w:t xml:space="preserve">, </w:t>
      </w:r>
      <w:r w:rsidR="007071E5">
        <w:rPr>
          <w:rFonts w:eastAsia="Calibri" w:cs="Times New Roman"/>
          <w:szCs w:val="24"/>
        </w:rPr>
        <w:t xml:space="preserve">Beyrut, 1984, </w:t>
      </w:r>
      <w:r w:rsidR="00A84D23">
        <w:rPr>
          <w:rFonts w:eastAsia="Calibri" w:cs="Times New Roman"/>
          <w:szCs w:val="24"/>
        </w:rPr>
        <w:t xml:space="preserve">VI, </w:t>
      </w:r>
      <w:r w:rsidRPr="00840976">
        <w:rPr>
          <w:rFonts w:eastAsia="Calibri" w:cs="Times New Roman"/>
          <w:szCs w:val="24"/>
        </w:rPr>
        <w:t xml:space="preserve">415; </w:t>
      </w:r>
      <w:proofErr w:type="spellStart"/>
      <w:r w:rsidRPr="00840976">
        <w:rPr>
          <w:rFonts w:eastAsia="Calibri" w:cs="Times New Roman"/>
          <w:szCs w:val="24"/>
        </w:rPr>
        <w:t>Buhûtî</w:t>
      </w:r>
      <w:proofErr w:type="spellEnd"/>
      <w:r w:rsidRPr="00840976">
        <w:rPr>
          <w:rFonts w:eastAsia="Calibri" w:cs="Times New Roman"/>
          <w:szCs w:val="24"/>
        </w:rPr>
        <w:t xml:space="preserve">, </w:t>
      </w:r>
      <w:r w:rsidRPr="000701D5">
        <w:rPr>
          <w:rFonts w:eastAsia="Calibri" w:cs="Times New Roman"/>
          <w:i/>
          <w:iCs/>
          <w:szCs w:val="24"/>
        </w:rPr>
        <w:t xml:space="preserve">Şerhu </w:t>
      </w:r>
      <w:proofErr w:type="spellStart"/>
      <w:r w:rsidRPr="000701D5">
        <w:rPr>
          <w:rFonts w:eastAsia="Calibri" w:cs="Times New Roman"/>
          <w:i/>
          <w:iCs/>
          <w:szCs w:val="24"/>
        </w:rPr>
        <w:t>Munteha’l-irâdât</w:t>
      </w:r>
      <w:proofErr w:type="spellEnd"/>
      <w:r w:rsidRPr="00840976">
        <w:rPr>
          <w:rFonts w:eastAsia="Calibri" w:cs="Times New Roman"/>
          <w:szCs w:val="24"/>
        </w:rPr>
        <w:t>,</w:t>
      </w:r>
      <w:r w:rsidR="00A84D23" w:rsidRPr="00A84D23">
        <w:rPr>
          <w:rFonts w:eastAsia="Calibri" w:cs="Times New Roman"/>
          <w:szCs w:val="24"/>
        </w:rPr>
        <w:t xml:space="preserve"> </w:t>
      </w:r>
      <w:r w:rsidR="00A84D23" w:rsidRPr="00840976">
        <w:rPr>
          <w:rFonts w:eastAsia="Calibri" w:cs="Times New Roman"/>
          <w:szCs w:val="24"/>
        </w:rPr>
        <w:t>Beyrut, 1993</w:t>
      </w:r>
      <w:r w:rsidR="00A84D23">
        <w:rPr>
          <w:rFonts w:eastAsia="Calibri" w:cs="Times New Roman"/>
          <w:szCs w:val="24"/>
        </w:rPr>
        <w:t>,</w:t>
      </w:r>
      <w:r w:rsidRPr="00840976">
        <w:rPr>
          <w:rFonts w:eastAsia="Calibri" w:cs="Times New Roman"/>
          <w:szCs w:val="24"/>
        </w:rPr>
        <w:t xml:space="preserve"> </w:t>
      </w:r>
      <w:r w:rsidR="00A84D23">
        <w:rPr>
          <w:rFonts w:eastAsia="Calibri" w:cs="Times New Roman"/>
          <w:szCs w:val="24"/>
        </w:rPr>
        <w:t xml:space="preserve">II, </w:t>
      </w:r>
      <w:r w:rsidRPr="00840976">
        <w:rPr>
          <w:rFonts w:eastAsia="Calibri" w:cs="Times New Roman"/>
          <w:szCs w:val="24"/>
        </w:rPr>
        <w:t>21</w:t>
      </w:r>
      <w:r w:rsidR="00A84D23">
        <w:rPr>
          <w:rFonts w:eastAsia="Calibri" w:cs="Times New Roman"/>
          <w:szCs w:val="24"/>
        </w:rPr>
        <w:t>3</w:t>
      </w:r>
      <w:r w:rsidRPr="00840976">
        <w:rPr>
          <w:rFonts w:eastAsia="Calibri" w:cs="Times New Roman"/>
          <w:szCs w:val="24"/>
        </w:rPr>
        <w:t xml:space="preserve">) ortaklardan birisinin yönetimi üstlenmesi durumunda kendisine maktu bir ücret/maaş verilmesi </w:t>
      </w:r>
      <w:r w:rsidRPr="00840976">
        <w:rPr>
          <w:rFonts w:eastAsia="Calibri" w:cs="Times New Roman"/>
          <w:szCs w:val="24"/>
        </w:rPr>
        <w:lastRenderedPageBreak/>
        <w:t xml:space="preserve">mümkündür. Bu takdirde taraflar </w:t>
      </w:r>
      <w:r w:rsidR="00156F57">
        <w:rPr>
          <w:rFonts w:eastAsia="Calibri" w:cs="Times New Roman"/>
          <w:szCs w:val="24"/>
        </w:rPr>
        <w:t>müşâreke</w:t>
      </w:r>
      <w:r w:rsidRPr="00840976">
        <w:rPr>
          <w:rFonts w:eastAsia="Calibri" w:cs="Times New Roman"/>
          <w:szCs w:val="24"/>
        </w:rPr>
        <w:t xml:space="preserve"> dışında yeni bir sözleşme akdetmiş olurlar, böylelikle yönetici ortak</w:t>
      </w:r>
      <w:r w:rsidR="007754A3" w:rsidRPr="00840976">
        <w:rPr>
          <w:rFonts w:eastAsia="Calibri" w:cs="Times New Roman"/>
          <w:szCs w:val="24"/>
        </w:rPr>
        <w:t>,</w:t>
      </w:r>
      <w:r w:rsidRPr="00840976">
        <w:rPr>
          <w:rFonts w:eastAsia="Calibri" w:cs="Times New Roman"/>
          <w:szCs w:val="24"/>
        </w:rPr>
        <w:t xml:space="preserve"> sermayeden doğan k</w:t>
      </w:r>
      <w:r w:rsidR="00156F57">
        <w:rPr>
          <w:rFonts w:eastAsia="Calibri" w:cs="Times New Roman"/>
          <w:szCs w:val="24"/>
        </w:rPr>
        <w:t>â</w:t>
      </w:r>
      <w:r w:rsidRPr="00840976">
        <w:rPr>
          <w:rFonts w:eastAsia="Calibri" w:cs="Times New Roman"/>
          <w:szCs w:val="24"/>
        </w:rPr>
        <w:t>rda hak sahibi olacağı gibi, ayrıca</w:t>
      </w:r>
      <w:r w:rsidR="007754A3" w:rsidRPr="00840976">
        <w:rPr>
          <w:rFonts w:eastAsia="Calibri" w:cs="Times New Roman"/>
          <w:szCs w:val="24"/>
        </w:rPr>
        <w:t xml:space="preserve"> bu yeni sözleşmeye bağlı olarak yürüttüğü yöneticilik sebebiyle</w:t>
      </w:r>
      <w:r w:rsidRPr="00840976">
        <w:rPr>
          <w:rFonts w:eastAsia="Calibri" w:cs="Times New Roman"/>
          <w:szCs w:val="24"/>
        </w:rPr>
        <w:t xml:space="preserve"> belirli bir ücrete de hak sahibi olur. Zira aksi takdirde yönetici ortak açısından haksız bir durum ortaya çıkacak, şirketin zarar etmesi veya yeterli </w:t>
      </w:r>
      <w:r w:rsidR="00156F57">
        <w:rPr>
          <w:rFonts w:eastAsia="Calibri" w:cs="Times New Roman"/>
          <w:szCs w:val="24"/>
        </w:rPr>
        <w:t>kâr</w:t>
      </w:r>
      <w:r w:rsidRPr="00840976">
        <w:rPr>
          <w:rFonts w:eastAsia="Calibri" w:cs="Times New Roman"/>
          <w:szCs w:val="24"/>
        </w:rPr>
        <w:t xml:space="preserve"> etmemesi durumunda emeği karşılıksız kalacaktır. Standartta bu görüşlerin her ikisinin de bir seçenek olabileceği kabul edilmiştir.    </w:t>
      </w:r>
    </w:p>
    <w:p w14:paraId="241A20CA" w14:textId="32EC1BBB" w:rsidR="00D93CCA" w:rsidRPr="00840976" w:rsidRDefault="00AC52CE" w:rsidP="00AC52CE">
      <w:pPr>
        <w:jc w:val="both"/>
        <w:rPr>
          <w:rFonts w:eastAsia="Calibri" w:cs="Times New Roman"/>
          <w:szCs w:val="24"/>
        </w:rPr>
      </w:pPr>
      <w:r w:rsidRPr="00840976">
        <w:rPr>
          <w:rFonts w:eastAsia="Calibri" w:cs="Times New Roman"/>
          <w:szCs w:val="24"/>
        </w:rPr>
        <w:t xml:space="preserve">Standartta yönetici ortağın yöneticilik sebebiyle belli bir ücret alabileceği hükmünün </w:t>
      </w:r>
      <w:r w:rsidR="00D93CCA" w:rsidRPr="00840976">
        <w:rPr>
          <w:rFonts w:eastAsia="Calibri" w:cs="Times New Roman"/>
          <w:szCs w:val="24"/>
        </w:rPr>
        <w:t xml:space="preserve">ikinci bir seçenek olarak kabul edilmesi birtakım gerekçelere dayanmaktadır. </w:t>
      </w:r>
      <w:r w:rsidRPr="00840976">
        <w:rPr>
          <w:rFonts w:eastAsia="Calibri" w:cs="Times New Roman"/>
          <w:szCs w:val="24"/>
        </w:rPr>
        <w:t xml:space="preserve">Burada yönetici ortağın aldığı ücret, sermayesinden doğan bir </w:t>
      </w:r>
      <w:r w:rsidR="00156F57">
        <w:rPr>
          <w:rFonts w:eastAsia="Calibri" w:cs="Times New Roman"/>
          <w:szCs w:val="24"/>
        </w:rPr>
        <w:t>kâr</w:t>
      </w:r>
      <w:r w:rsidRPr="00840976">
        <w:rPr>
          <w:rFonts w:eastAsia="Calibri" w:cs="Times New Roman"/>
          <w:szCs w:val="24"/>
        </w:rPr>
        <w:t xml:space="preserve"> değil, yöneticilik faaliyetinden doğan bir gelirdir. Diğer taraftan yönetici ortağın sadece kendisine verilen maktu ücretle yetinip kötü bir yönetim sergileyerek şirkette bulunan kendi sermayesini kaybetmeyi göze alması hayatın olağan akışına aykırıdır. Bu noktada aksi görüşte olanlar tarafından öne sürülen</w:t>
      </w:r>
      <w:r w:rsidR="00D93CCA" w:rsidRPr="00840976">
        <w:rPr>
          <w:rFonts w:eastAsia="Calibri" w:cs="Times New Roman"/>
          <w:szCs w:val="24"/>
        </w:rPr>
        <w:t xml:space="preserve">, </w:t>
      </w:r>
      <w:r w:rsidR="00156F57">
        <w:rPr>
          <w:rFonts w:eastAsia="Calibri" w:cs="Times New Roman"/>
          <w:szCs w:val="24"/>
        </w:rPr>
        <w:t>müşâreke</w:t>
      </w:r>
      <w:r w:rsidR="00D93CCA" w:rsidRPr="00840976">
        <w:rPr>
          <w:rFonts w:eastAsia="Calibri" w:cs="Times New Roman"/>
          <w:szCs w:val="24"/>
        </w:rPr>
        <w:t>den doğacak k</w:t>
      </w:r>
      <w:r w:rsidR="00156F57">
        <w:rPr>
          <w:rFonts w:eastAsia="Calibri" w:cs="Times New Roman"/>
          <w:szCs w:val="24"/>
        </w:rPr>
        <w:t>â</w:t>
      </w:r>
      <w:r w:rsidR="00D93CCA" w:rsidRPr="00840976">
        <w:rPr>
          <w:rFonts w:eastAsia="Calibri" w:cs="Times New Roman"/>
          <w:szCs w:val="24"/>
        </w:rPr>
        <w:t xml:space="preserve">rın tek bir kişi lehine paylaştırılmış olacağı, maktu bir ücret/maaş alan yönetici ortağın şirketin </w:t>
      </w:r>
      <w:r w:rsidR="00156F57">
        <w:rPr>
          <w:rFonts w:eastAsia="Calibri" w:cs="Times New Roman"/>
          <w:szCs w:val="24"/>
        </w:rPr>
        <w:t>kâr</w:t>
      </w:r>
      <w:r w:rsidR="00D93CCA" w:rsidRPr="00840976">
        <w:rPr>
          <w:rFonts w:eastAsia="Calibri" w:cs="Times New Roman"/>
          <w:szCs w:val="24"/>
        </w:rPr>
        <w:t xml:space="preserve"> etmesi için gereken gayreti göstermeyeceği, şirket k</w:t>
      </w:r>
      <w:r w:rsidR="00156F57">
        <w:rPr>
          <w:rFonts w:eastAsia="Calibri" w:cs="Times New Roman"/>
          <w:szCs w:val="24"/>
        </w:rPr>
        <w:t>â</w:t>
      </w:r>
      <w:r w:rsidR="00D93CCA" w:rsidRPr="00840976">
        <w:rPr>
          <w:rFonts w:eastAsia="Calibri" w:cs="Times New Roman"/>
          <w:szCs w:val="24"/>
        </w:rPr>
        <w:t xml:space="preserve">rının çok düşük kalması durumunda diğer ortakların bir kazanç sağlayamayacakları ve bu sebeple ortaya çıkan durumun ortaklık ilkesiyle bağdaşmayacağı gibi eleştiriler tartışmaya açıktır. </w:t>
      </w:r>
    </w:p>
    <w:p w14:paraId="1968B1E3" w14:textId="07E706A3" w:rsidR="00D93CCA" w:rsidRPr="00840976" w:rsidRDefault="00D93CCA" w:rsidP="00D93CCA">
      <w:pPr>
        <w:jc w:val="both"/>
        <w:rPr>
          <w:rFonts w:eastAsia="Calibri" w:cs="Times New Roman"/>
          <w:szCs w:val="24"/>
        </w:rPr>
      </w:pPr>
      <w:r w:rsidRPr="00840976">
        <w:rPr>
          <w:rFonts w:eastAsia="Calibri" w:cs="Times New Roman"/>
          <w:szCs w:val="24"/>
        </w:rPr>
        <w:t xml:space="preserve">Ayrıca bu görüşe yönelik olarak, yönetici ortağa maktu bir ücret verilmesi durumunda işçi ve işveren sıfatlarının aynı kişide birleşmiş olacağı tarzındaki itiraz da </w:t>
      </w:r>
      <w:r w:rsidR="00D83A81">
        <w:rPr>
          <w:rFonts w:eastAsia="Calibri" w:cs="Times New Roman"/>
          <w:szCs w:val="24"/>
        </w:rPr>
        <w:t>güçlü bir dayanağa sahip değildir</w:t>
      </w:r>
      <w:r w:rsidRPr="00840976">
        <w:rPr>
          <w:rFonts w:eastAsia="Calibri" w:cs="Times New Roman"/>
          <w:szCs w:val="24"/>
        </w:rPr>
        <w:t>. Nitekim ortaklar, her zaman mal ve hizmet edinimine yönelik farklı akitlerden doğan haklara ve borçlara taraf olabilirler. Zira Hanef</w:t>
      </w:r>
      <w:r w:rsidR="009C7EE6">
        <w:rPr>
          <w:rFonts w:eastAsia="Calibri" w:cs="Times New Roman"/>
          <w:szCs w:val="24"/>
        </w:rPr>
        <w:t>î</w:t>
      </w:r>
      <w:r w:rsidRPr="00840976">
        <w:rPr>
          <w:rFonts w:eastAsia="Calibri" w:cs="Times New Roman"/>
          <w:szCs w:val="24"/>
        </w:rPr>
        <w:t>, Malik</w:t>
      </w:r>
      <w:r w:rsidR="009C7EE6">
        <w:rPr>
          <w:rFonts w:eastAsia="Calibri" w:cs="Times New Roman"/>
          <w:szCs w:val="24"/>
        </w:rPr>
        <w:t>î</w:t>
      </w:r>
      <w:r w:rsidRPr="00840976">
        <w:rPr>
          <w:rFonts w:eastAsia="Calibri" w:cs="Times New Roman"/>
          <w:szCs w:val="24"/>
        </w:rPr>
        <w:t xml:space="preserve"> ve bir rivayette Hanbel</w:t>
      </w:r>
      <w:r w:rsidR="009C7EE6">
        <w:rPr>
          <w:rFonts w:eastAsia="Calibri" w:cs="Times New Roman"/>
          <w:szCs w:val="24"/>
        </w:rPr>
        <w:t>î</w:t>
      </w:r>
      <w:r w:rsidRPr="00840976">
        <w:rPr>
          <w:rFonts w:eastAsia="Calibri" w:cs="Times New Roman"/>
          <w:szCs w:val="24"/>
        </w:rPr>
        <w:t xml:space="preserve"> mezhebine göre mud</w:t>
      </w:r>
      <w:r w:rsidR="009C7EE6">
        <w:rPr>
          <w:rFonts w:eastAsia="Calibri" w:cs="Times New Roman"/>
          <w:szCs w:val="24"/>
        </w:rPr>
        <w:t>â</w:t>
      </w:r>
      <w:r w:rsidRPr="00840976">
        <w:rPr>
          <w:rFonts w:eastAsia="Calibri" w:cs="Times New Roman"/>
          <w:szCs w:val="24"/>
        </w:rPr>
        <w:t xml:space="preserve">rebe ortaklığında taraflardan herhangi birisinin şirket malını satın almasının caiz olması buna örnektir. Böyle bir durumda ortaklardan her birinin hem alıcı hem satıcı konumunda olacağı varsayılmamış, bilakis şirket malına nispetle her birinin </w:t>
      </w:r>
      <w:r w:rsidR="00AC52CE" w:rsidRPr="00840976">
        <w:rPr>
          <w:rFonts w:eastAsia="Calibri" w:cs="Times New Roman"/>
          <w:szCs w:val="24"/>
        </w:rPr>
        <w:t>üçüncü kişi</w:t>
      </w:r>
      <w:r w:rsidRPr="00840976">
        <w:rPr>
          <w:rFonts w:eastAsia="Calibri" w:cs="Times New Roman"/>
          <w:szCs w:val="24"/>
        </w:rPr>
        <w:t xml:space="preserve"> konumunda olduğu belirtilmiştir (Kâsânî, </w:t>
      </w:r>
      <w:r w:rsidRPr="00840976">
        <w:rPr>
          <w:rFonts w:eastAsia="Calibri" w:cs="Times New Roman"/>
          <w:i/>
          <w:iCs/>
          <w:szCs w:val="24"/>
        </w:rPr>
        <w:t>Bedâi‘u’s-sanâi‘</w:t>
      </w:r>
      <w:r w:rsidRPr="00840976">
        <w:rPr>
          <w:rFonts w:eastAsia="Calibri" w:cs="Times New Roman"/>
          <w:szCs w:val="24"/>
        </w:rPr>
        <w:t xml:space="preserve">, </w:t>
      </w:r>
      <w:r w:rsidR="000701D5">
        <w:rPr>
          <w:rFonts w:eastAsia="Calibri" w:cs="Times New Roman"/>
          <w:szCs w:val="24"/>
        </w:rPr>
        <w:t xml:space="preserve">VI, </w:t>
      </w:r>
      <w:r w:rsidRPr="00840976">
        <w:rPr>
          <w:rFonts w:eastAsia="Calibri" w:cs="Times New Roman"/>
          <w:szCs w:val="24"/>
        </w:rPr>
        <w:t xml:space="preserve">101; İbn Kudâme, </w:t>
      </w:r>
      <w:r w:rsidRPr="000701D5">
        <w:rPr>
          <w:rFonts w:eastAsia="Calibri" w:cs="Times New Roman"/>
          <w:i/>
          <w:iCs/>
          <w:szCs w:val="24"/>
        </w:rPr>
        <w:t>el-Muğni</w:t>
      </w:r>
      <w:r w:rsidR="00673BCB">
        <w:rPr>
          <w:rFonts w:eastAsia="Calibri" w:cs="Times New Roman"/>
          <w:i/>
          <w:iCs/>
          <w:szCs w:val="24"/>
        </w:rPr>
        <w:t xml:space="preserve">, </w:t>
      </w:r>
      <w:r w:rsidR="00673BCB">
        <w:rPr>
          <w:rFonts w:eastAsia="Calibri" w:cs="Times New Roman"/>
          <w:szCs w:val="24"/>
        </w:rPr>
        <w:t>Riyad, 1417/1997,</w:t>
      </w:r>
      <w:r w:rsidRPr="000701D5">
        <w:rPr>
          <w:rFonts w:eastAsia="Calibri" w:cs="Times New Roman"/>
          <w:i/>
          <w:iCs/>
          <w:szCs w:val="24"/>
        </w:rPr>
        <w:t xml:space="preserve"> </w:t>
      </w:r>
      <w:r w:rsidR="000701D5">
        <w:rPr>
          <w:rFonts w:eastAsia="Calibri" w:cs="Times New Roman"/>
          <w:szCs w:val="24"/>
        </w:rPr>
        <w:t>VII,</w:t>
      </w:r>
      <w:r w:rsidRPr="00840976">
        <w:rPr>
          <w:rFonts w:eastAsia="Calibri" w:cs="Times New Roman"/>
          <w:szCs w:val="24"/>
        </w:rPr>
        <w:t xml:space="preserve">168). Dolayısıyla </w:t>
      </w:r>
      <w:r w:rsidR="00156F57">
        <w:rPr>
          <w:rFonts w:eastAsia="Calibri" w:cs="Times New Roman"/>
          <w:szCs w:val="24"/>
        </w:rPr>
        <w:t>müşâreke</w:t>
      </w:r>
      <w:r w:rsidRPr="00840976">
        <w:rPr>
          <w:rFonts w:eastAsia="Calibri" w:cs="Times New Roman"/>
          <w:szCs w:val="24"/>
        </w:rPr>
        <w:t>de de ortakların taraf olduğu ayrı bir akit inşa etmelerine engel olan bir durum yoktur.</w:t>
      </w:r>
    </w:p>
    <w:p w14:paraId="607D1666" w14:textId="3B15545B" w:rsidR="00D93CCA" w:rsidRPr="00840976" w:rsidRDefault="00D93CCA" w:rsidP="00D93CCA">
      <w:pPr>
        <w:jc w:val="both"/>
        <w:rPr>
          <w:rFonts w:eastAsia="Calibri" w:cs="Times New Roman"/>
          <w:szCs w:val="24"/>
        </w:rPr>
      </w:pPr>
      <w:r w:rsidRPr="00840976">
        <w:rPr>
          <w:rFonts w:eastAsia="Calibri" w:cs="Times New Roman"/>
          <w:szCs w:val="24"/>
        </w:rPr>
        <w:t xml:space="preserve">Yönetici ortağın düzenli olarak aldığı ücret sebebiyle şirketteki sermayesini peyderpey ve dolaylı olarak </w:t>
      </w:r>
      <w:r w:rsidR="00F8291D" w:rsidRPr="00840976">
        <w:rPr>
          <w:rFonts w:eastAsia="Calibri" w:cs="Times New Roman"/>
          <w:szCs w:val="24"/>
        </w:rPr>
        <w:t xml:space="preserve">geri aldığı </w:t>
      </w:r>
      <w:r w:rsidRPr="00840976">
        <w:rPr>
          <w:rFonts w:eastAsia="Calibri" w:cs="Times New Roman"/>
          <w:szCs w:val="24"/>
        </w:rPr>
        <w:t>düşünülemez ve zamanla bedelsiz bir hisseye sahip olacağı ya da olası bir zarar durumunda sermayesi kadar zarara katlanma</w:t>
      </w:r>
      <w:r w:rsidR="00F8291D" w:rsidRPr="00840976">
        <w:rPr>
          <w:rFonts w:eastAsia="Calibri" w:cs="Times New Roman"/>
          <w:szCs w:val="24"/>
        </w:rPr>
        <w:t>yacağı</w:t>
      </w:r>
      <w:r w:rsidRPr="00840976">
        <w:rPr>
          <w:rFonts w:eastAsia="Calibri" w:cs="Times New Roman"/>
          <w:szCs w:val="24"/>
        </w:rPr>
        <w:t xml:space="preserve"> da söylenemez. Zira yönetici ortağın şirket sermayesinden doğan </w:t>
      </w:r>
      <w:r w:rsidR="00156F57">
        <w:rPr>
          <w:rFonts w:eastAsia="Calibri" w:cs="Times New Roman"/>
          <w:szCs w:val="24"/>
        </w:rPr>
        <w:t>kâr</w:t>
      </w:r>
      <w:r w:rsidRPr="00840976">
        <w:rPr>
          <w:rFonts w:eastAsia="Calibri" w:cs="Times New Roman"/>
          <w:szCs w:val="24"/>
        </w:rPr>
        <w:t xml:space="preserve"> ve zararı </w:t>
      </w:r>
      <w:r w:rsidR="00156F57">
        <w:rPr>
          <w:rFonts w:eastAsia="Calibri" w:cs="Times New Roman"/>
          <w:szCs w:val="24"/>
        </w:rPr>
        <w:t>müşâreke</w:t>
      </w:r>
      <w:r w:rsidRPr="00840976">
        <w:rPr>
          <w:rFonts w:eastAsia="Calibri" w:cs="Times New Roman"/>
          <w:szCs w:val="24"/>
        </w:rPr>
        <w:t xml:space="preserve"> akdinin bir sonucuyken,</w:t>
      </w:r>
      <w:r w:rsidR="00F8291D" w:rsidRPr="00840976">
        <w:rPr>
          <w:rFonts w:eastAsia="Calibri" w:cs="Times New Roman"/>
          <w:szCs w:val="24"/>
        </w:rPr>
        <w:t xml:space="preserve"> diğer ortak ya da ortaklarca yürütülmesi</w:t>
      </w:r>
      <w:r w:rsidRPr="00840976">
        <w:rPr>
          <w:rFonts w:eastAsia="Calibri" w:cs="Times New Roman"/>
          <w:szCs w:val="24"/>
        </w:rPr>
        <w:t xml:space="preserve"> gereken yönetim iş</w:t>
      </w:r>
      <w:r w:rsidR="00F8291D" w:rsidRPr="00840976">
        <w:rPr>
          <w:rFonts w:eastAsia="Calibri" w:cs="Times New Roman"/>
          <w:szCs w:val="24"/>
        </w:rPr>
        <w:t>ini</w:t>
      </w:r>
      <w:r w:rsidRPr="00840976">
        <w:rPr>
          <w:rFonts w:eastAsia="Calibri" w:cs="Times New Roman"/>
          <w:szCs w:val="24"/>
        </w:rPr>
        <w:t xml:space="preserve"> de üstlenmesi ve buna karşılık bir ücret alması ayrı ve bağımsız bir sözleşmenin sonucudur. Bu sebeple her iki </w:t>
      </w:r>
      <w:r w:rsidR="00F8291D" w:rsidRPr="00840976">
        <w:rPr>
          <w:rFonts w:eastAsia="Calibri" w:cs="Times New Roman"/>
          <w:szCs w:val="24"/>
        </w:rPr>
        <w:t>sözleşmeden</w:t>
      </w:r>
      <w:r w:rsidRPr="00840976">
        <w:rPr>
          <w:rFonts w:eastAsia="Calibri" w:cs="Times New Roman"/>
          <w:szCs w:val="24"/>
        </w:rPr>
        <w:t xml:space="preserve"> doğacak </w:t>
      </w:r>
      <w:r w:rsidR="00D83A81">
        <w:rPr>
          <w:rFonts w:eastAsia="Calibri" w:cs="Times New Roman"/>
          <w:szCs w:val="24"/>
        </w:rPr>
        <w:t>hak</w:t>
      </w:r>
      <w:r w:rsidR="00D83A81" w:rsidRPr="00840976">
        <w:rPr>
          <w:rFonts w:eastAsia="Calibri" w:cs="Times New Roman"/>
          <w:szCs w:val="24"/>
        </w:rPr>
        <w:t xml:space="preserve"> </w:t>
      </w:r>
      <w:r w:rsidR="00D83A81">
        <w:rPr>
          <w:rFonts w:eastAsia="Calibri" w:cs="Times New Roman"/>
          <w:szCs w:val="24"/>
        </w:rPr>
        <w:t>ve</w:t>
      </w:r>
      <w:r w:rsidRPr="00840976">
        <w:rPr>
          <w:rFonts w:eastAsia="Calibri" w:cs="Times New Roman"/>
          <w:szCs w:val="24"/>
        </w:rPr>
        <w:t xml:space="preserve"> </w:t>
      </w:r>
      <w:r w:rsidR="00D83A81">
        <w:rPr>
          <w:rFonts w:eastAsia="Calibri" w:cs="Times New Roman"/>
          <w:szCs w:val="24"/>
        </w:rPr>
        <w:t>sorumluluklar</w:t>
      </w:r>
      <w:r w:rsidR="00D83A81" w:rsidRPr="00840976">
        <w:rPr>
          <w:rFonts w:eastAsia="Calibri" w:cs="Times New Roman"/>
          <w:szCs w:val="24"/>
        </w:rPr>
        <w:t xml:space="preserve"> </w:t>
      </w:r>
      <w:r w:rsidRPr="00840976">
        <w:rPr>
          <w:rFonts w:eastAsia="Calibri" w:cs="Times New Roman"/>
          <w:szCs w:val="24"/>
        </w:rPr>
        <w:t>birbirinden bağımsızdır.</w:t>
      </w:r>
    </w:p>
    <w:p w14:paraId="39D12517" w14:textId="42D5DB6D" w:rsidR="00D93CCA" w:rsidRPr="00840976" w:rsidRDefault="00156F57" w:rsidP="00D93CCA">
      <w:pPr>
        <w:jc w:val="both"/>
        <w:rPr>
          <w:rFonts w:eastAsia="Calibri" w:cs="Times New Roman"/>
          <w:szCs w:val="24"/>
        </w:rPr>
      </w:pPr>
      <w:r>
        <w:rPr>
          <w:rFonts w:eastAsia="Calibri" w:cs="Times New Roman"/>
          <w:szCs w:val="24"/>
        </w:rPr>
        <w:t>Müşâreke</w:t>
      </w:r>
      <w:r w:rsidR="00D93CCA" w:rsidRPr="00840976">
        <w:rPr>
          <w:rFonts w:eastAsia="Calibri" w:cs="Times New Roman"/>
          <w:szCs w:val="24"/>
        </w:rPr>
        <w:t xml:space="preserve">de oluşan giderler, kişilerin ticari faaliyetinden doğan ve karşılanması gereken zorunlu mali sorumluluklardır. Bu sebeple mali giderlerin şirketin malvarlığından karşılanması ve herkesin katılım payı kadar mali sorumluluğu üstlenmesi gerekir. </w:t>
      </w:r>
    </w:p>
    <w:p w14:paraId="2788BB9F" w14:textId="08DF9C2B" w:rsidR="00D93CCA" w:rsidRPr="00DF3397" w:rsidRDefault="00156F57" w:rsidP="00DF3397">
      <w:pPr>
        <w:pStyle w:val="ListeParagraf"/>
        <w:keepNext/>
        <w:keepLines/>
        <w:numPr>
          <w:ilvl w:val="0"/>
          <w:numId w:val="27"/>
        </w:numPr>
        <w:spacing w:before="240" w:after="240"/>
        <w:outlineLvl w:val="0"/>
        <w:rPr>
          <w:rFonts w:eastAsia="Times New Roman" w:cs="Times New Roman"/>
          <w:b/>
          <w:szCs w:val="32"/>
        </w:rPr>
      </w:pPr>
      <w:bookmarkStart w:id="51" w:name="_Toc170257378"/>
      <w:r w:rsidRPr="00DF3397">
        <w:rPr>
          <w:rFonts w:eastAsia="Times New Roman" w:cs="Times New Roman"/>
          <w:b/>
          <w:szCs w:val="32"/>
        </w:rPr>
        <w:t>Müşâreke</w:t>
      </w:r>
      <w:r w:rsidR="00D93CCA" w:rsidRPr="00DF3397">
        <w:rPr>
          <w:rFonts w:eastAsia="Times New Roman" w:cs="Times New Roman"/>
          <w:b/>
          <w:szCs w:val="32"/>
        </w:rPr>
        <w:t>ye İlişkin Teminatlar ile İlgili Hükümlerin Ger</w:t>
      </w:r>
      <w:r w:rsidR="00F8291D" w:rsidRPr="00DF3397">
        <w:rPr>
          <w:rFonts w:eastAsia="Times New Roman" w:cs="Times New Roman"/>
          <w:b/>
          <w:szCs w:val="32"/>
        </w:rPr>
        <w:t>e</w:t>
      </w:r>
      <w:r w:rsidR="00D93CCA" w:rsidRPr="00DF3397">
        <w:rPr>
          <w:rFonts w:eastAsia="Times New Roman" w:cs="Times New Roman"/>
          <w:b/>
          <w:szCs w:val="32"/>
        </w:rPr>
        <w:t>kçeleri</w:t>
      </w:r>
      <w:bookmarkEnd w:id="51"/>
    </w:p>
    <w:p w14:paraId="43929B8D" w14:textId="091A3FFA" w:rsidR="00D93CCA" w:rsidRPr="00840976" w:rsidRDefault="00156F57" w:rsidP="00D93CCA">
      <w:pPr>
        <w:jc w:val="both"/>
        <w:rPr>
          <w:rFonts w:eastAsia="Calibri" w:cs="Times New Roman"/>
          <w:szCs w:val="24"/>
        </w:rPr>
      </w:pPr>
      <w:r>
        <w:rPr>
          <w:rFonts w:eastAsia="Calibri" w:cs="Times New Roman"/>
          <w:szCs w:val="24"/>
        </w:rPr>
        <w:t>Müşâreke</w:t>
      </w:r>
      <w:r w:rsidR="00D93CCA" w:rsidRPr="00840976">
        <w:rPr>
          <w:rFonts w:eastAsia="Calibri" w:cs="Times New Roman"/>
          <w:szCs w:val="24"/>
        </w:rPr>
        <w:t xml:space="preserve">de ortaklık sermayesinin garanti altına alınmasına yönelik bir talep ortaklık ilkesiyle bağdaşmaz. Zira kişi, şirket sermayesi ölçüsünde olası zarara da katlanmak zorundadır. Bu durum, şirketten doğan hak ve yükümlülüklerin tabii bir sonucudur. Ancak </w:t>
      </w:r>
      <w:r w:rsidR="00ED10EF" w:rsidRPr="00840976">
        <w:rPr>
          <w:rFonts w:eastAsia="Calibri" w:cs="Times New Roman"/>
          <w:szCs w:val="24"/>
        </w:rPr>
        <w:t xml:space="preserve">ortakların </w:t>
      </w:r>
      <w:r w:rsidR="00D93CCA" w:rsidRPr="00840976">
        <w:rPr>
          <w:rFonts w:eastAsia="Calibri" w:cs="Times New Roman"/>
          <w:szCs w:val="24"/>
        </w:rPr>
        <w:t>kasıt, ihmal veya sözleşme şartlarına aykırı</w:t>
      </w:r>
      <w:r w:rsidR="00ED10EF" w:rsidRPr="00840976">
        <w:rPr>
          <w:rFonts w:eastAsia="Calibri" w:cs="Times New Roman"/>
          <w:szCs w:val="24"/>
        </w:rPr>
        <w:t xml:space="preserve"> davranmaktan kaynaklanan</w:t>
      </w:r>
      <w:r w:rsidR="00D93CCA" w:rsidRPr="00840976">
        <w:rPr>
          <w:rFonts w:eastAsia="Calibri" w:cs="Times New Roman"/>
          <w:szCs w:val="24"/>
        </w:rPr>
        <w:t xml:space="preserve"> </w:t>
      </w:r>
      <w:r w:rsidR="00D93CCA" w:rsidRPr="00840976">
        <w:rPr>
          <w:rFonts w:eastAsia="Calibri" w:cs="Times New Roman"/>
          <w:szCs w:val="24"/>
        </w:rPr>
        <w:lastRenderedPageBreak/>
        <w:t xml:space="preserve">zararların tazmin edilmesine yönelik </w:t>
      </w:r>
      <w:r w:rsidR="00ED10EF" w:rsidRPr="00840976">
        <w:rPr>
          <w:rFonts w:eastAsia="Calibri" w:cs="Times New Roman"/>
          <w:szCs w:val="24"/>
        </w:rPr>
        <w:t xml:space="preserve">olarak ortaklardan ve varsa yönetici ortaktan </w:t>
      </w:r>
      <w:r w:rsidR="00D93CCA" w:rsidRPr="00840976">
        <w:rPr>
          <w:rFonts w:eastAsia="Calibri" w:cs="Times New Roman"/>
          <w:szCs w:val="24"/>
        </w:rPr>
        <w:t xml:space="preserve">bir teminat talep edilebilir. </w:t>
      </w:r>
    </w:p>
    <w:p w14:paraId="6A66536D" w14:textId="78CB0A53" w:rsidR="00D93CCA" w:rsidRPr="00DF3397" w:rsidRDefault="00156F57" w:rsidP="00DF3397">
      <w:pPr>
        <w:pStyle w:val="ListeParagraf"/>
        <w:keepNext/>
        <w:keepLines/>
        <w:numPr>
          <w:ilvl w:val="0"/>
          <w:numId w:val="27"/>
        </w:numPr>
        <w:spacing w:before="240" w:after="240"/>
        <w:outlineLvl w:val="0"/>
        <w:rPr>
          <w:rFonts w:eastAsia="Times New Roman" w:cs="Times New Roman"/>
          <w:b/>
          <w:szCs w:val="32"/>
        </w:rPr>
      </w:pPr>
      <w:bookmarkStart w:id="52" w:name="_Toc170257379"/>
      <w:r w:rsidRPr="00DF3397">
        <w:rPr>
          <w:rFonts w:eastAsia="Times New Roman" w:cs="Times New Roman"/>
          <w:b/>
          <w:szCs w:val="32"/>
        </w:rPr>
        <w:t>Müşâreke</w:t>
      </w:r>
      <w:r w:rsidR="00D93CCA" w:rsidRPr="00DF3397">
        <w:rPr>
          <w:rFonts w:eastAsia="Times New Roman" w:cs="Times New Roman"/>
          <w:b/>
          <w:szCs w:val="32"/>
        </w:rPr>
        <w:t>nin Sona Ermesi ile İlgili Hükümlerin Gerekçeleri</w:t>
      </w:r>
      <w:bookmarkEnd w:id="52"/>
    </w:p>
    <w:p w14:paraId="29D62445" w14:textId="04D27013" w:rsidR="004B0A2F" w:rsidRPr="00840976" w:rsidRDefault="00156F57" w:rsidP="00D93CCA">
      <w:pPr>
        <w:jc w:val="both"/>
        <w:rPr>
          <w:rFonts w:eastAsia="Calibri" w:cs="Times New Roman"/>
          <w:szCs w:val="24"/>
        </w:rPr>
      </w:pPr>
      <w:r>
        <w:rPr>
          <w:rFonts w:eastAsia="Calibri" w:cs="Times New Roman"/>
          <w:szCs w:val="24"/>
        </w:rPr>
        <w:t>Müşâreke</w:t>
      </w:r>
      <w:r w:rsidR="00D93CCA" w:rsidRPr="00840976">
        <w:rPr>
          <w:rFonts w:eastAsia="Calibri" w:cs="Times New Roman"/>
          <w:szCs w:val="24"/>
        </w:rPr>
        <w:t xml:space="preserve"> ortaklığının devamı için bazı temel koşulların sağlanması gerekir. Bu koşulların ihlali veya belirli durumların gerçekleşmesi halinde, ortaklık sona erer. Örneğin sermayenin tamamen yok olması, ortaklığın varlık sebebini ortadan kaldırdığı için </w:t>
      </w:r>
      <w:r>
        <w:rPr>
          <w:rFonts w:eastAsia="Calibri" w:cs="Times New Roman"/>
          <w:szCs w:val="24"/>
        </w:rPr>
        <w:t>müşâreke</w:t>
      </w:r>
      <w:r w:rsidR="00D93CCA" w:rsidRPr="00840976">
        <w:rPr>
          <w:rFonts w:eastAsia="Calibri" w:cs="Times New Roman"/>
          <w:szCs w:val="24"/>
        </w:rPr>
        <w:t xml:space="preserve"> ortaklığının devam etmesi mümkün değildir. </w:t>
      </w:r>
    </w:p>
    <w:p w14:paraId="729B6951" w14:textId="4C517A1B" w:rsidR="00D93CCA" w:rsidRPr="00840976" w:rsidRDefault="004B0A2F" w:rsidP="004B0A2F">
      <w:pPr>
        <w:jc w:val="both"/>
        <w:rPr>
          <w:rFonts w:eastAsia="Calibri" w:cs="Times New Roman"/>
          <w:szCs w:val="24"/>
        </w:rPr>
      </w:pPr>
      <w:r w:rsidRPr="00840976">
        <w:rPr>
          <w:rFonts w:eastAsia="Calibri" w:cs="Times New Roman"/>
          <w:szCs w:val="24"/>
        </w:rPr>
        <w:t>İki kişi</w:t>
      </w:r>
      <w:r w:rsidR="007D11D5">
        <w:rPr>
          <w:rFonts w:eastAsia="Calibri" w:cs="Times New Roman"/>
          <w:szCs w:val="24"/>
        </w:rPr>
        <w:t>den oluşan</w:t>
      </w:r>
      <w:r w:rsidRPr="00840976">
        <w:rPr>
          <w:rFonts w:eastAsia="Calibri" w:cs="Times New Roman"/>
          <w:szCs w:val="24"/>
        </w:rPr>
        <w:t xml:space="preserve"> ortaklıklarda </w:t>
      </w:r>
      <w:r w:rsidR="001005F3">
        <w:rPr>
          <w:rFonts w:eastAsia="Calibri" w:cs="Times New Roman"/>
          <w:szCs w:val="24"/>
        </w:rPr>
        <w:t>ortak</w:t>
      </w:r>
      <w:r w:rsidRPr="00840976">
        <w:rPr>
          <w:rFonts w:eastAsia="Calibri" w:cs="Times New Roman"/>
          <w:szCs w:val="24"/>
        </w:rPr>
        <w:t xml:space="preserve">lardan birinin ölümü, klasik literatürde prensip olarak </w:t>
      </w:r>
      <w:r w:rsidR="00156F57">
        <w:rPr>
          <w:rFonts w:eastAsia="Calibri" w:cs="Times New Roman"/>
          <w:szCs w:val="24"/>
        </w:rPr>
        <w:t>müşâreke</w:t>
      </w:r>
      <w:r w:rsidRPr="00840976">
        <w:rPr>
          <w:rFonts w:eastAsia="Calibri" w:cs="Times New Roman"/>
          <w:szCs w:val="24"/>
        </w:rPr>
        <w:t xml:space="preserve">yi sona erdirmesine rağmen burada çağdaş ihtiyaçlar ve şirketlerin devamlılığını temin </w:t>
      </w:r>
      <w:r w:rsidR="00BB0B53">
        <w:rPr>
          <w:rFonts w:eastAsia="Calibri" w:cs="Times New Roman"/>
          <w:szCs w:val="24"/>
        </w:rPr>
        <w:t>gerekçesiyle</w:t>
      </w:r>
      <w:r w:rsidR="00BB0B53" w:rsidRPr="00840976">
        <w:rPr>
          <w:rFonts w:eastAsia="Calibri" w:cs="Times New Roman"/>
          <w:szCs w:val="24"/>
        </w:rPr>
        <w:t xml:space="preserve"> </w:t>
      </w:r>
      <w:r w:rsidRPr="00840976">
        <w:rPr>
          <w:rFonts w:eastAsia="Calibri" w:cs="Times New Roman"/>
          <w:szCs w:val="24"/>
        </w:rPr>
        <w:t>ölümün doğrudan şirket akdini ortadan kaldırmadığ</w:t>
      </w:r>
      <w:r w:rsidR="00D83A81">
        <w:rPr>
          <w:rFonts w:eastAsia="Calibri" w:cs="Times New Roman"/>
          <w:szCs w:val="24"/>
        </w:rPr>
        <w:t xml:space="preserve">ı </w:t>
      </w:r>
      <w:r w:rsidR="00BB0B53">
        <w:rPr>
          <w:rFonts w:eastAsia="Calibri" w:cs="Times New Roman"/>
          <w:szCs w:val="24"/>
        </w:rPr>
        <w:t xml:space="preserve">görüşü </w:t>
      </w:r>
      <w:r w:rsidR="00D83A81">
        <w:rPr>
          <w:rFonts w:eastAsia="Calibri" w:cs="Times New Roman"/>
          <w:szCs w:val="24"/>
        </w:rPr>
        <w:t>kabul edil</w:t>
      </w:r>
      <w:r w:rsidR="00BB0B53">
        <w:rPr>
          <w:rFonts w:eastAsia="Calibri" w:cs="Times New Roman"/>
          <w:szCs w:val="24"/>
        </w:rPr>
        <w:t xml:space="preserve">miştir. Bu durumda, </w:t>
      </w:r>
      <w:r w:rsidRPr="00840976">
        <w:rPr>
          <w:rFonts w:eastAsia="Calibri" w:cs="Times New Roman"/>
          <w:szCs w:val="24"/>
        </w:rPr>
        <w:t>ölen kişinin varislerinin ve diğer ortağın anlaşma</w:t>
      </w:r>
      <w:r w:rsidR="00BB0B53">
        <w:rPr>
          <w:rFonts w:eastAsia="Calibri" w:cs="Times New Roman"/>
          <w:szCs w:val="24"/>
        </w:rPr>
        <w:t>ları halinde ortaklığın devam edebileceği öngörülmüştür</w:t>
      </w:r>
      <w:r w:rsidRPr="00840976">
        <w:rPr>
          <w:rFonts w:eastAsia="Calibri" w:cs="Times New Roman"/>
          <w:szCs w:val="24"/>
        </w:rPr>
        <w:t xml:space="preserve">. </w:t>
      </w:r>
      <w:r w:rsidR="00D93CCA" w:rsidRPr="00840976">
        <w:rPr>
          <w:rFonts w:eastAsia="Calibri" w:cs="Times New Roman"/>
          <w:szCs w:val="24"/>
        </w:rPr>
        <w:t>A</w:t>
      </w:r>
      <w:r w:rsidRPr="00840976">
        <w:rPr>
          <w:rFonts w:eastAsia="Calibri" w:cs="Times New Roman"/>
          <w:szCs w:val="24"/>
        </w:rPr>
        <w:t xml:space="preserve">ynı gerekçelerle </w:t>
      </w:r>
      <w:r w:rsidR="00D93CCA" w:rsidRPr="00840976">
        <w:rPr>
          <w:rFonts w:eastAsia="Calibri" w:cs="Times New Roman"/>
          <w:szCs w:val="24"/>
        </w:rPr>
        <w:t xml:space="preserve">üç veya daha fazla kişiden oluşan ortaklıkta ise içlerinden sadece vefat edenin ortaklığı sona erer. Bununla birlikte, vefat edenin varisleri rıza göstermeleri ve diğer ortakların da kabul etmeleri halinde ortaklığa devam edebilirler. </w:t>
      </w:r>
    </w:p>
    <w:p w14:paraId="4F2437C5" w14:textId="2BCB305A" w:rsidR="00D93CCA" w:rsidRPr="00840976" w:rsidRDefault="00156F57" w:rsidP="00D93CCA">
      <w:pPr>
        <w:jc w:val="both"/>
        <w:rPr>
          <w:rFonts w:eastAsia="Calibri" w:cs="Times New Roman"/>
          <w:szCs w:val="24"/>
        </w:rPr>
      </w:pPr>
      <w:r>
        <w:rPr>
          <w:rFonts w:eastAsia="Calibri" w:cs="Times New Roman"/>
          <w:szCs w:val="24"/>
        </w:rPr>
        <w:t>Müşâreke</w:t>
      </w:r>
      <w:r w:rsidR="00D93CCA" w:rsidRPr="00840976">
        <w:rPr>
          <w:rFonts w:eastAsia="Calibri" w:cs="Times New Roman"/>
          <w:szCs w:val="24"/>
        </w:rPr>
        <w:t xml:space="preserve">, belirli bir süreyle kayıtlı olarak yapılabileceği için sözleşmede belirlenen süre dolduğunda </w:t>
      </w:r>
      <w:r>
        <w:rPr>
          <w:rFonts w:eastAsia="Calibri" w:cs="Times New Roman"/>
          <w:szCs w:val="24"/>
        </w:rPr>
        <w:t>müşâreke</w:t>
      </w:r>
      <w:r w:rsidR="00D93CCA" w:rsidRPr="00840976">
        <w:rPr>
          <w:rFonts w:eastAsia="Calibri" w:cs="Times New Roman"/>
          <w:szCs w:val="24"/>
        </w:rPr>
        <w:t xml:space="preserve"> ortaklığı da sona ermiş olur. Aynı şekilde </w:t>
      </w:r>
      <w:r>
        <w:rPr>
          <w:rFonts w:eastAsia="Calibri" w:cs="Times New Roman"/>
          <w:szCs w:val="24"/>
        </w:rPr>
        <w:t>müşâreke</w:t>
      </w:r>
      <w:r w:rsidR="00D93CCA" w:rsidRPr="00840976">
        <w:rPr>
          <w:rFonts w:eastAsia="Calibri" w:cs="Times New Roman"/>
          <w:szCs w:val="24"/>
        </w:rPr>
        <w:t>nin bozucu bir şarta bağlanması durumunda bu şartın gerçekleşmesine bağlı olarak sözleşme sona erer.</w:t>
      </w:r>
    </w:p>
    <w:p w14:paraId="3B7C5769" w14:textId="4F93FD74" w:rsidR="00D93CCA" w:rsidRPr="00840976" w:rsidRDefault="00156F57" w:rsidP="00D93CCA">
      <w:pPr>
        <w:jc w:val="both"/>
        <w:rPr>
          <w:rFonts w:eastAsia="Calibri" w:cs="Times New Roman"/>
          <w:szCs w:val="24"/>
        </w:rPr>
      </w:pPr>
      <w:r>
        <w:rPr>
          <w:rFonts w:eastAsia="Calibri" w:cs="Times New Roman"/>
          <w:szCs w:val="24"/>
        </w:rPr>
        <w:t>Müşâreke</w:t>
      </w:r>
      <w:r w:rsidR="00D93CCA" w:rsidRPr="00840976">
        <w:rPr>
          <w:rFonts w:eastAsia="Calibri" w:cs="Times New Roman"/>
          <w:szCs w:val="24"/>
        </w:rPr>
        <w:t>, gayri lâzım bir akit olup taraflara anlaşmayı istedikleri zaman sonlandırma hakkı tanımaktadır. Ancak bu durum, fesih hakkının keyfi veya zarar verici bir şekilde kullanılmasına izin vermez. Eğer sözleşme, yapılan işin doğası itibarıyla uygun olmayan bir zamanda feshedilirse, feshi gerçekleştiren taraf diğer tarafın fiil</w:t>
      </w:r>
      <w:r w:rsidR="009C7EE6">
        <w:rPr>
          <w:rFonts w:eastAsia="Calibri" w:cs="Times New Roman"/>
          <w:szCs w:val="24"/>
        </w:rPr>
        <w:t>î</w:t>
      </w:r>
      <w:r w:rsidR="00D93CCA" w:rsidRPr="00840976">
        <w:rPr>
          <w:rFonts w:eastAsia="Calibri" w:cs="Times New Roman"/>
          <w:szCs w:val="24"/>
        </w:rPr>
        <w:t xml:space="preserve"> zararlarını tazmin etmekle yükümlüdür. Mecelle'nin 19. maddesi, </w:t>
      </w:r>
      <w:r w:rsidR="00D93CCA" w:rsidRPr="006952BB">
        <w:rPr>
          <w:rFonts w:eastAsia="Calibri" w:cs="Times New Roman"/>
          <w:i/>
          <w:iCs/>
          <w:szCs w:val="24"/>
        </w:rPr>
        <w:t>“Zarar ve mukabele bi’z-zarar yoktur”</w:t>
      </w:r>
      <w:r w:rsidR="00D93CCA" w:rsidRPr="00840976">
        <w:rPr>
          <w:rFonts w:eastAsia="Calibri" w:cs="Times New Roman"/>
          <w:szCs w:val="24"/>
        </w:rPr>
        <w:t xml:space="preserve"> ilkesiyle, zarar verici davranışları</w:t>
      </w:r>
      <w:r w:rsidR="00BB0B53">
        <w:rPr>
          <w:rFonts w:eastAsia="Calibri" w:cs="Times New Roman"/>
          <w:szCs w:val="24"/>
        </w:rPr>
        <w:t>n</w:t>
      </w:r>
      <w:r w:rsidR="00D93CCA" w:rsidRPr="00840976">
        <w:rPr>
          <w:rFonts w:eastAsia="Calibri" w:cs="Times New Roman"/>
          <w:szCs w:val="24"/>
        </w:rPr>
        <w:t xml:space="preserve"> ve haksız fiilleri</w:t>
      </w:r>
      <w:r w:rsidR="00BB0B53">
        <w:rPr>
          <w:rFonts w:eastAsia="Calibri" w:cs="Times New Roman"/>
          <w:szCs w:val="24"/>
        </w:rPr>
        <w:t>n</w:t>
      </w:r>
      <w:r w:rsidR="00D93CCA" w:rsidRPr="00840976">
        <w:rPr>
          <w:rFonts w:eastAsia="Calibri" w:cs="Times New Roman"/>
          <w:szCs w:val="24"/>
        </w:rPr>
        <w:t xml:space="preserve"> </w:t>
      </w:r>
      <w:r w:rsidR="00BB0B53" w:rsidRPr="00840976">
        <w:rPr>
          <w:rFonts w:eastAsia="Calibri" w:cs="Times New Roman"/>
          <w:szCs w:val="24"/>
        </w:rPr>
        <w:t>yasakla</w:t>
      </w:r>
      <w:r w:rsidR="00BB0B53">
        <w:rPr>
          <w:rFonts w:eastAsia="Calibri" w:cs="Times New Roman"/>
          <w:szCs w:val="24"/>
        </w:rPr>
        <w:t>nacağını</w:t>
      </w:r>
      <w:r w:rsidR="00D93CCA" w:rsidRPr="00840976">
        <w:rPr>
          <w:rFonts w:eastAsia="Calibri" w:cs="Times New Roman"/>
          <w:szCs w:val="24"/>
        </w:rPr>
        <w:t xml:space="preserve">, </w:t>
      </w:r>
      <w:r w:rsidR="00BB0B53">
        <w:rPr>
          <w:rFonts w:eastAsia="Calibri" w:cs="Times New Roman"/>
          <w:szCs w:val="24"/>
        </w:rPr>
        <w:t xml:space="preserve">ayrıca </w:t>
      </w:r>
      <w:r w:rsidR="00D93CCA" w:rsidRPr="00840976">
        <w:rPr>
          <w:rFonts w:eastAsia="Calibri" w:cs="Times New Roman"/>
          <w:szCs w:val="24"/>
        </w:rPr>
        <w:t>hukuk</w:t>
      </w:r>
      <w:r w:rsidR="009C7EE6">
        <w:rPr>
          <w:rFonts w:eastAsia="Calibri" w:cs="Times New Roman"/>
          <w:szCs w:val="24"/>
        </w:rPr>
        <w:t>î</w:t>
      </w:r>
      <w:r w:rsidR="00D93CCA" w:rsidRPr="00840976">
        <w:rPr>
          <w:rFonts w:eastAsia="Calibri" w:cs="Times New Roman"/>
          <w:szCs w:val="24"/>
        </w:rPr>
        <w:t xml:space="preserve"> hak ve yetkilerin sınırsız</w:t>
      </w:r>
      <w:r w:rsidR="00BB0B53">
        <w:rPr>
          <w:rFonts w:eastAsia="Calibri" w:cs="Times New Roman"/>
          <w:szCs w:val="24"/>
        </w:rPr>
        <w:t xml:space="preserve"> bir biçimde</w:t>
      </w:r>
      <w:r w:rsidR="00D93CCA" w:rsidRPr="00840976">
        <w:rPr>
          <w:rFonts w:eastAsia="Calibri" w:cs="Times New Roman"/>
          <w:szCs w:val="24"/>
        </w:rPr>
        <w:t xml:space="preserve"> </w:t>
      </w:r>
      <w:r w:rsidR="00BB0B53" w:rsidRPr="00840976">
        <w:rPr>
          <w:rFonts w:eastAsia="Calibri" w:cs="Times New Roman"/>
          <w:szCs w:val="24"/>
        </w:rPr>
        <w:t>kullanı</w:t>
      </w:r>
      <w:r w:rsidR="00BB0B53">
        <w:rPr>
          <w:rFonts w:eastAsia="Calibri" w:cs="Times New Roman"/>
          <w:szCs w:val="24"/>
        </w:rPr>
        <w:t>lamayacağını hükme bağlar</w:t>
      </w:r>
      <w:r w:rsidR="002C5BAB">
        <w:rPr>
          <w:rFonts w:eastAsia="Calibri" w:cs="Times New Roman"/>
          <w:szCs w:val="24"/>
        </w:rPr>
        <w:t>.</w:t>
      </w:r>
      <w:r w:rsidR="00D93CCA" w:rsidRPr="00840976">
        <w:rPr>
          <w:rFonts w:eastAsia="Calibri" w:cs="Times New Roman"/>
          <w:szCs w:val="24"/>
        </w:rPr>
        <w:t xml:space="preserve"> Buna göre, </w:t>
      </w:r>
      <w:r>
        <w:rPr>
          <w:rFonts w:eastAsia="Calibri" w:cs="Times New Roman"/>
          <w:szCs w:val="24"/>
        </w:rPr>
        <w:t>müşâreke</w:t>
      </w:r>
      <w:r w:rsidR="00D93CCA" w:rsidRPr="00840976">
        <w:rPr>
          <w:rFonts w:eastAsia="Calibri" w:cs="Times New Roman"/>
          <w:szCs w:val="24"/>
        </w:rPr>
        <w:t xml:space="preserve"> akdinde de taraflar, fesih haklarını</w:t>
      </w:r>
      <w:r w:rsidR="00BB0B53">
        <w:rPr>
          <w:rFonts w:eastAsia="Calibri" w:cs="Times New Roman"/>
          <w:szCs w:val="24"/>
        </w:rPr>
        <w:t>,</w:t>
      </w:r>
      <w:r w:rsidR="00D93CCA" w:rsidRPr="00840976">
        <w:rPr>
          <w:rFonts w:eastAsia="Calibri" w:cs="Times New Roman"/>
          <w:szCs w:val="24"/>
        </w:rPr>
        <w:t xml:space="preserve"> ortaklarını zarara uğratacak şekilde kullanamazlar. Fesihten dolayı doğabilecek fiil</w:t>
      </w:r>
      <w:r w:rsidR="009C7EE6">
        <w:rPr>
          <w:rFonts w:eastAsia="Calibri" w:cs="Times New Roman"/>
          <w:szCs w:val="24"/>
        </w:rPr>
        <w:t>î</w:t>
      </w:r>
      <w:r w:rsidR="00D93CCA" w:rsidRPr="00840976">
        <w:rPr>
          <w:rFonts w:eastAsia="Calibri" w:cs="Times New Roman"/>
          <w:szCs w:val="24"/>
        </w:rPr>
        <w:t xml:space="preserve"> zararın giderilmesi gerektiği hususu da yine Mecelle’nin </w:t>
      </w:r>
      <w:r w:rsidR="00D93CCA" w:rsidRPr="006952BB">
        <w:rPr>
          <w:rFonts w:eastAsia="Calibri" w:cs="Times New Roman"/>
          <w:i/>
          <w:iCs/>
          <w:szCs w:val="24"/>
        </w:rPr>
        <w:t>“Zarar izale olunur”</w:t>
      </w:r>
      <w:r w:rsidR="00D93CCA" w:rsidRPr="00840976">
        <w:rPr>
          <w:rFonts w:eastAsia="Calibri" w:cs="Times New Roman"/>
          <w:szCs w:val="24"/>
        </w:rPr>
        <w:t xml:space="preserve"> </w:t>
      </w:r>
      <w:r w:rsidR="002C5BAB">
        <w:rPr>
          <w:rFonts w:eastAsia="Calibri" w:cs="Times New Roman"/>
          <w:szCs w:val="24"/>
        </w:rPr>
        <w:t xml:space="preserve">(md. 20) </w:t>
      </w:r>
      <w:r w:rsidR="00D93CCA" w:rsidRPr="00840976">
        <w:rPr>
          <w:rFonts w:eastAsia="Calibri" w:cs="Times New Roman"/>
          <w:szCs w:val="24"/>
        </w:rPr>
        <w:t xml:space="preserve">şeklindeki kaidesinin bir gereğidir. </w:t>
      </w:r>
    </w:p>
    <w:p w14:paraId="2C321EA1" w14:textId="7B6F231A" w:rsidR="00D93CCA" w:rsidRPr="00840976" w:rsidRDefault="00D93CCA" w:rsidP="00D93CCA">
      <w:pPr>
        <w:jc w:val="both"/>
        <w:rPr>
          <w:rFonts w:eastAsia="Calibri" w:cs="Times New Roman"/>
          <w:szCs w:val="24"/>
        </w:rPr>
      </w:pPr>
      <w:r w:rsidRPr="00840976">
        <w:rPr>
          <w:rFonts w:eastAsia="Calibri" w:cs="Times New Roman"/>
          <w:szCs w:val="24"/>
        </w:rPr>
        <w:t xml:space="preserve">Ortaklığın tasfiyesi gerçek ya da hükmî tasfiye yöntemleri ile gerçekleştirilebilir. Literatürde hakikî nakitleştirme olarak da bilinen gerçek tasfiye, ortaklığa ait </w:t>
      </w:r>
      <w:r w:rsidR="00BB0B53" w:rsidRPr="00840976">
        <w:rPr>
          <w:rFonts w:eastAsia="Calibri" w:cs="Times New Roman"/>
          <w:szCs w:val="24"/>
        </w:rPr>
        <w:t>ayn</w:t>
      </w:r>
      <w:r w:rsidR="00BB0B53">
        <w:rPr>
          <w:rFonts w:eastAsia="Calibri" w:cs="Times New Roman"/>
          <w:szCs w:val="24"/>
        </w:rPr>
        <w:t>î</w:t>
      </w:r>
      <w:r w:rsidR="00BB0B53" w:rsidRPr="00840976">
        <w:rPr>
          <w:rFonts w:eastAsia="Calibri" w:cs="Times New Roman"/>
          <w:szCs w:val="24"/>
        </w:rPr>
        <w:t xml:space="preserve"> </w:t>
      </w:r>
      <w:r w:rsidRPr="00840976">
        <w:rPr>
          <w:rFonts w:eastAsia="Calibri" w:cs="Times New Roman"/>
          <w:szCs w:val="24"/>
        </w:rPr>
        <w:t xml:space="preserve">varlıkların satılması suretiyle nakde çevrilmesini içerir. Bu yöntemle elde edilen nakit, ortaklar arasında paylaştırılır. Diğer yandan, hükmî tasfiye ya da hükmî nakitleştirme olarak bilinen yöntemde, </w:t>
      </w:r>
      <w:r w:rsidR="00B519E3" w:rsidRPr="00840976">
        <w:rPr>
          <w:rFonts w:eastAsia="Calibri" w:cs="Times New Roman"/>
          <w:szCs w:val="24"/>
        </w:rPr>
        <w:t>şirketin o andaki</w:t>
      </w:r>
      <w:r w:rsidR="009749B3" w:rsidRPr="00840976">
        <w:rPr>
          <w:rFonts w:eastAsia="Calibri" w:cs="Times New Roman"/>
          <w:szCs w:val="24"/>
        </w:rPr>
        <w:t xml:space="preserve"> mevcut</w:t>
      </w:r>
      <w:r w:rsidR="00B519E3" w:rsidRPr="00840976">
        <w:rPr>
          <w:rFonts w:eastAsia="Calibri" w:cs="Times New Roman"/>
          <w:szCs w:val="24"/>
        </w:rPr>
        <w:t xml:space="preserve"> </w:t>
      </w:r>
      <w:r w:rsidRPr="00840976">
        <w:rPr>
          <w:rFonts w:eastAsia="Calibri" w:cs="Times New Roman"/>
          <w:szCs w:val="24"/>
        </w:rPr>
        <w:t>varlıkların</w:t>
      </w:r>
      <w:r w:rsidR="00B519E3" w:rsidRPr="00840976">
        <w:rPr>
          <w:rFonts w:eastAsia="Calibri" w:cs="Times New Roman"/>
          <w:szCs w:val="24"/>
        </w:rPr>
        <w:t>ın</w:t>
      </w:r>
      <w:r w:rsidRPr="00840976">
        <w:rPr>
          <w:rFonts w:eastAsia="Calibri" w:cs="Times New Roman"/>
          <w:szCs w:val="24"/>
        </w:rPr>
        <w:t xml:space="preserve"> kıymetleri, fiziksel olarak satılmadan tespit edilir ve bu değerler üzerinden parasal karşılıkları belirlenerek ortaklar arasında paylaşılır.</w:t>
      </w:r>
    </w:p>
    <w:p w14:paraId="73BAA616" w14:textId="77777777" w:rsidR="00D93CCA" w:rsidRPr="00840976" w:rsidRDefault="00D93CCA" w:rsidP="00D93CCA">
      <w:pPr>
        <w:jc w:val="both"/>
      </w:pPr>
    </w:p>
    <w:sectPr w:rsidR="00D93CCA" w:rsidRPr="00840976" w:rsidSect="0011498A">
      <w:footerReference w:type="default" r:id="rId8"/>
      <w:pgSz w:w="11906" w:h="16838"/>
      <w:pgMar w:top="1440" w:right="17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D075D" w14:textId="77777777" w:rsidR="005D09F5" w:rsidRDefault="005D09F5" w:rsidP="00842E87">
      <w:pPr>
        <w:spacing w:after="0" w:line="240" w:lineRule="auto"/>
      </w:pPr>
      <w:r>
        <w:separator/>
      </w:r>
    </w:p>
  </w:endnote>
  <w:endnote w:type="continuationSeparator" w:id="0">
    <w:p w14:paraId="414AEE60" w14:textId="77777777" w:rsidR="005D09F5" w:rsidRDefault="005D09F5" w:rsidP="00842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inionPro-Regular">
    <w:altName w:val="Times New Roman"/>
    <w:panose1 w:val="00000000000000000000"/>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9285734"/>
      <w:docPartObj>
        <w:docPartGallery w:val="Page Numbers (Bottom of Page)"/>
        <w:docPartUnique/>
      </w:docPartObj>
    </w:sdtPr>
    <w:sdtEndPr/>
    <w:sdtContent>
      <w:p w14:paraId="3BB47B77" w14:textId="7DC3B371" w:rsidR="005E4D09" w:rsidRDefault="005E4D09">
        <w:pPr>
          <w:pStyle w:val="AltBilgi"/>
          <w:jc w:val="center"/>
        </w:pPr>
        <w:r>
          <w:fldChar w:fldCharType="begin"/>
        </w:r>
        <w:r>
          <w:instrText>PAGE   \* MERGEFORMAT</w:instrText>
        </w:r>
        <w:r>
          <w:fldChar w:fldCharType="separate"/>
        </w:r>
        <w:r w:rsidR="003407E2">
          <w:rPr>
            <w:noProof/>
          </w:rPr>
          <w:t>7</w:t>
        </w:r>
        <w:r>
          <w:fldChar w:fldCharType="end"/>
        </w:r>
      </w:p>
    </w:sdtContent>
  </w:sdt>
  <w:p w14:paraId="15F155E8" w14:textId="77777777" w:rsidR="005E4D09" w:rsidRDefault="005E4D0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A679F" w14:textId="77777777" w:rsidR="005D09F5" w:rsidRDefault="005D09F5" w:rsidP="00842E87">
      <w:pPr>
        <w:spacing w:after="0" w:line="240" w:lineRule="auto"/>
      </w:pPr>
      <w:r>
        <w:separator/>
      </w:r>
    </w:p>
  </w:footnote>
  <w:footnote w:type="continuationSeparator" w:id="0">
    <w:p w14:paraId="56ECDBC0" w14:textId="77777777" w:rsidR="005D09F5" w:rsidRDefault="005D09F5" w:rsidP="00842E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D63B2"/>
    <w:multiLevelType w:val="hybridMultilevel"/>
    <w:tmpl w:val="CAF0F91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108119C"/>
    <w:multiLevelType w:val="multilevel"/>
    <w:tmpl w:val="60B6C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70746C"/>
    <w:multiLevelType w:val="multilevel"/>
    <w:tmpl w:val="2CECBD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b/>
        <w:bCs/>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3913B4"/>
    <w:multiLevelType w:val="hybridMultilevel"/>
    <w:tmpl w:val="ABDA4B44"/>
    <w:lvl w:ilvl="0" w:tplc="041F000F">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753763E"/>
    <w:multiLevelType w:val="hybridMultilevel"/>
    <w:tmpl w:val="21A2859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A8764ED"/>
    <w:multiLevelType w:val="hybridMultilevel"/>
    <w:tmpl w:val="EFE48B2E"/>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E0308AD"/>
    <w:multiLevelType w:val="hybridMultilevel"/>
    <w:tmpl w:val="DB586B92"/>
    <w:lvl w:ilvl="0" w:tplc="ED4AF13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58A5F6B"/>
    <w:multiLevelType w:val="multilevel"/>
    <w:tmpl w:val="06D67A1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6861BD3"/>
    <w:multiLevelType w:val="multilevel"/>
    <w:tmpl w:val="2CECBD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04" w:hanging="720"/>
      </w:pPr>
      <w:rPr>
        <w:rFonts w:hint="default"/>
        <w:color w:val="auto"/>
      </w:rPr>
    </w:lvl>
    <w:lvl w:ilvl="3">
      <w:start w:val="1"/>
      <w:numFmt w:val="decimal"/>
      <w:isLgl/>
      <w:lvlText w:val="%1.%2.%3.%4."/>
      <w:lvlJc w:val="left"/>
      <w:pPr>
        <w:ind w:left="1429" w:hanging="720"/>
      </w:pPr>
      <w:rPr>
        <w:rFonts w:hint="default"/>
        <w:b/>
        <w:bCs/>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C131129"/>
    <w:multiLevelType w:val="multilevel"/>
    <w:tmpl w:val="27AE9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1A02B2"/>
    <w:multiLevelType w:val="multilevel"/>
    <w:tmpl w:val="5DB8C0AA"/>
    <w:lvl w:ilvl="0">
      <w:start w:val="1"/>
      <w:numFmt w:val="decimal"/>
      <w:lvlText w:val="%1."/>
      <w:lvlJc w:val="left"/>
      <w:pPr>
        <w:ind w:left="794" w:hanging="437"/>
      </w:pPr>
      <w:rPr>
        <w:rFonts w:hint="default"/>
      </w:rPr>
    </w:lvl>
    <w:lvl w:ilvl="1">
      <w:start w:val="1"/>
      <w:numFmt w:val="decimal"/>
      <w:isLgl/>
      <w:lvlText w:val="%1.%2."/>
      <w:lvlJc w:val="left"/>
      <w:pPr>
        <w:ind w:left="720" w:hanging="437"/>
      </w:pPr>
      <w:rPr>
        <w:rFonts w:hint="default"/>
        <w:b/>
        <w:bCs/>
        <w:i w:val="0"/>
        <w:iCs w:val="0"/>
        <w:strike w:val="0"/>
        <w:color w:val="auto"/>
      </w:rPr>
    </w:lvl>
    <w:lvl w:ilvl="2">
      <w:start w:val="1"/>
      <w:numFmt w:val="decimal"/>
      <w:isLgl/>
      <w:lvlText w:val="%1.%2.%3."/>
      <w:lvlJc w:val="left"/>
      <w:pPr>
        <w:ind w:left="794" w:hanging="437"/>
      </w:pPr>
      <w:rPr>
        <w:rFonts w:hint="default"/>
        <w:b/>
        <w:bCs/>
      </w:rPr>
    </w:lvl>
    <w:lvl w:ilvl="3">
      <w:start w:val="1"/>
      <w:numFmt w:val="decimal"/>
      <w:isLgl/>
      <w:lvlText w:val="%1.%2.%3.%4."/>
      <w:lvlJc w:val="left"/>
      <w:pPr>
        <w:ind w:left="794" w:hanging="437"/>
      </w:pPr>
      <w:rPr>
        <w:rFonts w:hint="default"/>
      </w:rPr>
    </w:lvl>
    <w:lvl w:ilvl="4">
      <w:start w:val="1"/>
      <w:numFmt w:val="decimal"/>
      <w:isLgl/>
      <w:lvlText w:val="%1.%2.%3.%4.%5."/>
      <w:lvlJc w:val="left"/>
      <w:pPr>
        <w:ind w:left="794" w:hanging="437"/>
      </w:pPr>
      <w:rPr>
        <w:rFonts w:hint="default"/>
      </w:rPr>
    </w:lvl>
    <w:lvl w:ilvl="5">
      <w:start w:val="1"/>
      <w:numFmt w:val="decimal"/>
      <w:isLgl/>
      <w:lvlText w:val="%1.%2.%3.%4.%5.%6."/>
      <w:lvlJc w:val="left"/>
      <w:pPr>
        <w:ind w:left="794" w:hanging="437"/>
      </w:pPr>
      <w:rPr>
        <w:rFonts w:hint="default"/>
      </w:rPr>
    </w:lvl>
    <w:lvl w:ilvl="6">
      <w:start w:val="1"/>
      <w:numFmt w:val="decimal"/>
      <w:isLgl/>
      <w:lvlText w:val="%1.%2.%3.%4.%5.%6.%7."/>
      <w:lvlJc w:val="left"/>
      <w:pPr>
        <w:ind w:left="794" w:hanging="437"/>
      </w:pPr>
      <w:rPr>
        <w:rFonts w:hint="default"/>
      </w:rPr>
    </w:lvl>
    <w:lvl w:ilvl="7">
      <w:start w:val="1"/>
      <w:numFmt w:val="decimal"/>
      <w:isLgl/>
      <w:lvlText w:val="%1.%2.%3.%4.%5.%6.%7.%8."/>
      <w:lvlJc w:val="left"/>
      <w:pPr>
        <w:ind w:left="794" w:hanging="437"/>
      </w:pPr>
      <w:rPr>
        <w:rFonts w:hint="default"/>
      </w:rPr>
    </w:lvl>
    <w:lvl w:ilvl="8">
      <w:start w:val="1"/>
      <w:numFmt w:val="decimal"/>
      <w:isLgl/>
      <w:lvlText w:val="%1.%2.%3.%4.%5.%6.%7.%8.%9."/>
      <w:lvlJc w:val="left"/>
      <w:pPr>
        <w:ind w:left="794" w:hanging="437"/>
      </w:pPr>
      <w:rPr>
        <w:rFonts w:hint="default"/>
      </w:rPr>
    </w:lvl>
  </w:abstractNum>
  <w:abstractNum w:abstractNumId="11" w15:restartNumberingAfterBreak="0">
    <w:nsid w:val="2F1627DB"/>
    <w:multiLevelType w:val="multilevel"/>
    <w:tmpl w:val="2CECBD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b/>
        <w:bCs/>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6157450"/>
    <w:multiLevelType w:val="multilevel"/>
    <w:tmpl w:val="CC22F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C532C7"/>
    <w:multiLevelType w:val="hybridMultilevel"/>
    <w:tmpl w:val="0A4A3E20"/>
    <w:lvl w:ilvl="0" w:tplc="041F000F">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9702EAF"/>
    <w:multiLevelType w:val="multilevel"/>
    <w:tmpl w:val="2CECBD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b/>
        <w:bCs/>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B002EFA"/>
    <w:multiLevelType w:val="hybridMultilevel"/>
    <w:tmpl w:val="B73E46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CBB24BF"/>
    <w:multiLevelType w:val="multilevel"/>
    <w:tmpl w:val="626E8B6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307361"/>
    <w:multiLevelType w:val="hybridMultilevel"/>
    <w:tmpl w:val="1BCA9D3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9080131"/>
    <w:multiLevelType w:val="hybridMultilevel"/>
    <w:tmpl w:val="DB4686F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D9179D4"/>
    <w:multiLevelType w:val="hybridMultilevel"/>
    <w:tmpl w:val="0BA62B6A"/>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555C646A"/>
    <w:multiLevelType w:val="hybridMultilevel"/>
    <w:tmpl w:val="3D149764"/>
    <w:lvl w:ilvl="0" w:tplc="041F0013">
      <w:start w:val="1"/>
      <w:numFmt w:val="upperRoman"/>
      <w:lvlText w:val="%1."/>
      <w:lvlJc w:val="right"/>
      <w:pPr>
        <w:ind w:left="1514" w:hanging="360"/>
      </w:pPr>
    </w:lvl>
    <w:lvl w:ilvl="1" w:tplc="041F0019" w:tentative="1">
      <w:start w:val="1"/>
      <w:numFmt w:val="lowerLetter"/>
      <w:lvlText w:val="%2."/>
      <w:lvlJc w:val="left"/>
      <w:pPr>
        <w:ind w:left="2234" w:hanging="360"/>
      </w:pPr>
    </w:lvl>
    <w:lvl w:ilvl="2" w:tplc="041F001B" w:tentative="1">
      <w:start w:val="1"/>
      <w:numFmt w:val="lowerRoman"/>
      <w:lvlText w:val="%3."/>
      <w:lvlJc w:val="right"/>
      <w:pPr>
        <w:ind w:left="2954" w:hanging="180"/>
      </w:pPr>
    </w:lvl>
    <w:lvl w:ilvl="3" w:tplc="041F000F" w:tentative="1">
      <w:start w:val="1"/>
      <w:numFmt w:val="decimal"/>
      <w:lvlText w:val="%4."/>
      <w:lvlJc w:val="left"/>
      <w:pPr>
        <w:ind w:left="3674" w:hanging="360"/>
      </w:pPr>
    </w:lvl>
    <w:lvl w:ilvl="4" w:tplc="041F0019" w:tentative="1">
      <w:start w:val="1"/>
      <w:numFmt w:val="lowerLetter"/>
      <w:lvlText w:val="%5."/>
      <w:lvlJc w:val="left"/>
      <w:pPr>
        <w:ind w:left="4394" w:hanging="360"/>
      </w:pPr>
    </w:lvl>
    <w:lvl w:ilvl="5" w:tplc="041F001B" w:tentative="1">
      <w:start w:val="1"/>
      <w:numFmt w:val="lowerRoman"/>
      <w:lvlText w:val="%6."/>
      <w:lvlJc w:val="right"/>
      <w:pPr>
        <w:ind w:left="5114" w:hanging="180"/>
      </w:pPr>
    </w:lvl>
    <w:lvl w:ilvl="6" w:tplc="041F000F" w:tentative="1">
      <w:start w:val="1"/>
      <w:numFmt w:val="decimal"/>
      <w:lvlText w:val="%7."/>
      <w:lvlJc w:val="left"/>
      <w:pPr>
        <w:ind w:left="5834" w:hanging="360"/>
      </w:pPr>
    </w:lvl>
    <w:lvl w:ilvl="7" w:tplc="041F0019" w:tentative="1">
      <w:start w:val="1"/>
      <w:numFmt w:val="lowerLetter"/>
      <w:lvlText w:val="%8."/>
      <w:lvlJc w:val="left"/>
      <w:pPr>
        <w:ind w:left="6554" w:hanging="360"/>
      </w:pPr>
    </w:lvl>
    <w:lvl w:ilvl="8" w:tplc="041F001B" w:tentative="1">
      <w:start w:val="1"/>
      <w:numFmt w:val="lowerRoman"/>
      <w:lvlText w:val="%9."/>
      <w:lvlJc w:val="right"/>
      <w:pPr>
        <w:ind w:left="7274" w:hanging="180"/>
      </w:pPr>
    </w:lvl>
  </w:abstractNum>
  <w:abstractNum w:abstractNumId="21" w15:restartNumberingAfterBreak="0">
    <w:nsid w:val="5821268E"/>
    <w:multiLevelType w:val="hybridMultilevel"/>
    <w:tmpl w:val="9E629F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6F92D07"/>
    <w:multiLevelType w:val="multilevel"/>
    <w:tmpl w:val="5DB8C0AA"/>
    <w:lvl w:ilvl="0">
      <w:start w:val="1"/>
      <w:numFmt w:val="decimal"/>
      <w:lvlText w:val="%1."/>
      <w:lvlJc w:val="left"/>
      <w:pPr>
        <w:ind w:left="794" w:hanging="437"/>
      </w:pPr>
      <w:rPr>
        <w:rFonts w:hint="default"/>
      </w:rPr>
    </w:lvl>
    <w:lvl w:ilvl="1">
      <w:start w:val="1"/>
      <w:numFmt w:val="decimal"/>
      <w:isLgl/>
      <w:lvlText w:val="%1.%2."/>
      <w:lvlJc w:val="left"/>
      <w:pPr>
        <w:ind w:left="720" w:hanging="437"/>
      </w:pPr>
      <w:rPr>
        <w:rFonts w:hint="default"/>
        <w:b/>
        <w:bCs/>
        <w:i w:val="0"/>
        <w:iCs w:val="0"/>
        <w:strike w:val="0"/>
        <w:color w:val="auto"/>
      </w:rPr>
    </w:lvl>
    <w:lvl w:ilvl="2">
      <w:start w:val="1"/>
      <w:numFmt w:val="decimal"/>
      <w:isLgl/>
      <w:lvlText w:val="%1.%2.%3."/>
      <w:lvlJc w:val="left"/>
      <w:pPr>
        <w:ind w:left="794" w:hanging="437"/>
      </w:pPr>
      <w:rPr>
        <w:rFonts w:hint="default"/>
        <w:b/>
        <w:bCs/>
      </w:rPr>
    </w:lvl>
    <w:lvl w:ilvl="3">
      <w:start w:val="1"/>
      <w:numFmt w:val="decimal"/>
      <w:isLgl/>
      <w:lvlText w:val="%1.%2.%3.%4."/>
      <w:lvlJc w:val="left"/>
      <w:pPr>
        <w:ind w:left="794" w:hanging="437"/>
      </w:pPr>
      <w:rPr>
        <w:rFonts w:hint="default"/>
      </w:rPr>
    </w:lvl>
    <w:lvl w:ilvl="4">
      <w:start w:val="1"/>
      <w:numFmt w:val="decimal"/>
      <w:isLgl/>
      <w:lvlText w:val="%1.%2.%3.%4.%5."/>
      <w:lvlJc w:val="left"/>
      <w:pPr>
        <w:ind w:left="794" w:hanging="437"/>
      </w:pPr>
      <w:rPr>
        <w:rFonts w:hint="default"/>
      </w:rPr>
    </w:lvl>
    <w:lvl w:ilvl="5">
      <w:start w:val="1"/>
      <w:numFmt w:val="decimal"/>
      <w:isLgl/>
      <w:lvlText w:val="%1.%2.%3.%4.%5.%6."/>
      <w:lvlJc w:val="left"/>
      <w:pPr>
        <w:ind w:left="794" w:hanging="437"/>
      </w:pPr>
      <w:rPr>
        <w:rFonts w:hint="default"/>
      </w:rPr>
    </w:lvl>
    <w:lvl w:ilvl="6">
      <w:start w:val="1"/>
      <w:numFmt w:val="decimal"/>
      <w:isLgl/>
      <w:lvlText w:val="%1.%2.%3.%4.%5.%6.%7."/>
      <w:lvlJc w:val="left"/>
      <w:pPr>
        <w:ind w:left="794" w:hanging="437"/>
      </w:pPr>
      <w:rPr>
        <w:rFonts w:hint="default"/>
      </w:rPr>
    </w:lvl>
    <w:lvl w:ilvl="7">
      <w:start w:val="1"/>
      <w:numFmt w:val="decimal"/>
      <w:isLgl/>
      <w:lvlText w:val="%1.%2.%3.%4.%5.%6.%7.%8."/>
      <w:lvlJc w:val="left"/>
      <w:pPr>
        <w:ind w:left="794" w:hanging="437"/>
      </w:pPr>
      <w:rPr>
        <w:rFonts w:hint="default"/>
      </w:rPr>
    </w:lvl>
    <w:lvl w:ilvl="8">
      <w:start w:val="1"/>
      <w:numFmt w:val="decimal"/>
      <w:isLgl/>
      <w:lvlText w:val="%1.%2.%3.%4.%5.%6.%7.%8.%9."/>
      <w:lvlJc w:val="left"/>
      <w:pPr>
        <w:ind w:left="794" w:hanging="437"/>
      </w:pPr>
      <w:rPr>
        <w:rFonts w:hint="default"/>
      </w:rPr>
    </w:lvl>
  </w:abstractNum>
  <w:abstractNum w:abstractNumId="23" w15:restartNumberingAfterBreak="0">
    <w:nsid w:val="6FB66138"/>
    <w:multiLevelType w:val="multilevel"/>
    <w:tmpl w:val="2CECBD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b/>
        <w:bCs/>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19958C4"/>
    <w:multiLevelType w:val="multilevel"/>
    <w:tmpl w:val="3F122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DB56E1"/>
    <w:multiLevelType w:val="hybridMultilevel"/>
    <w:tmpl w:val="7BC254F4"/>
    <w:lvl w:ilvl="0" w:tplc="FFFFFFFF">
      <w:start w:val="1"/>
      <w:numFmt w:val="upperRoman"/>
      <w:lvlText w:val="%1."/>
      <w:lvlJc w:val="right"/>
      <w:pPr>
        <w:ind w:left="1514" w:hanging="360"/>
      </w:pPr>
    </w:lvl>
    <w:lvl w:ilvl="1" w:tplc="FFFFFFFF" w:tentative="1">
      <w:start w:val="1"/>
      <w:numFmt w:val="lowerLetter"/>
      <w:lvlText w:val="%2."/>
      <w:lvlJc w:val="left"/>
      <w:pPr>
        <w:ind w:left="2234" w:hanging="360"/>
      </w:pPr>
    </w:lvl>
    <w:lvl w:ilvl="2" w:tplc="FFFFFFFF" w:tentative="1">
      <w:start w:val="1"/>
      <w:numFmt w:val="lowerRoman"/>
      <w:lvlText w:val="%3."/>
      <w:lvlJc w:val="right"/>
      <w:pPr>
        <w:ind w:left="2954" w:hanging="180"/>
      </w:pPr>
    </w:lvl>
    <w:lvl w:ilvl="3" w:tplc="FFFFFFFF" w:tentative="1">
      <w:start w:val="1"/>
      <w:numFmt w:val="decimal"/>
      <w:lvlText w:val="%4."/>
      <w:lvlJc w:val="left"/>
      <w:pPr>
        <w:ind w:left="3674" w:hanging="360"/>
      </w:pPr>
    </w:lvl>
    <w:lvl w:ilvl="4" w:tplc="FFFFFFFF" w:tentative="1">
      <w:start w:val="1"/>
      <w:numFmt w:val="lowerLetter"/>
      <w:lvlText w:val="%5."/>
      <w:lvlJc w:val="left"/>
      <w:pPr>
        <w:ind w:left="4394" w:hanging="360"/>
      </w:pPr>
    </w:lvl>
    <w:lvl w:ilvl="5" w:tplc="FFFFFFFF" w:tentative="1">
      <w:start w:val="1"/>
      <w:numFmt w:val="lowerRoman"/>
      <w:lvlText w:val="%6."/>
      <w:lvlJc w:val="right"/>
      <w:pPr>
        <w:ind w:left="5114" w:hanging="180"/>
      </w:pPr>
    </w:lvl>
    <w:lvl w:ilvl="6" w:tplc="FFFFFFFF" w:tentative="1">
      <w:start w:val="1"/>
      <w:numFmt w:val="decimal"/>
      <w:lvlText w:val="%7."/>
      <w:lvlJc w:val="left"/>
      <w:pPr>
        <w:ind w:left="5834" w:hanging="360"/>
      </w:pPr>
    </w:lvl>
    <w:lvl w:ilvl="7" w:tplc="FFFFFFFF" w:tentative="1">
      <w:start w:val="1"/>
      <w:numFmt w:val="lowerLetter"/>
      <w:lvlText w:val="%8."/>
      <w:lvlJc w:val="left"/>
      <w:pPr>
        <w:ind w:left="6554" w:hanging="360"/>
      </w:pPr>
    </w:lvl>
    <w:lvl w:ilvl="8" w:tplc="FFFFFFFF" w:tentative="1">
      <w:start w:val="1"/>
      <w:numFmt w:val="lowerRoman"/>
      <w:lvlText w:val="%9."/>
      <w:lvlJc w:val="right"/>
      <w:pPr>
        <w:ind w:left="7274" w:hanging="180"/>
      </w:pPr>
    </w:lvl>
  </w:abstractNum>
  <w:abstractNum w:abstractNumId="26" w15:restartNumberingAfterBreak="0">
    <w:nsid w:val="7D24158B"/>
    <w:multiLevelType w:val="hybridMultilevel"/>
    <w:tmpl w:val="43C8AB7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1412123054">
    <w:abstractNumId w:val="8"/>
  </w:num>
  <w:num w:numId="2" w16cid:durableId="746195961">
    <w:abstractNumId w:val="4"/>
  </w:num>
  <w:num w:numId="3" w16cid:durableId="1604531542">
    <w:abstractNumId w:val="11"/>
  </w:num>
  <w:num w:numId="4" w16cid:durableId="1443068633">
    <w:abstractNumId w:val="14"/>
  </w:num>
  <w:num w:numId="5" w16cid:durableId="242958929">
    <w:abstractNumId w:val="23"/>
  </w:num>
  <w:num w:numId="6" w16cid:durableId="740106195">
    <w:abstractNumId w:val="2"/>
  </w:num>
  <w:num w:numId="7" w16cid:durableId="179008296">
    <w:abstractNumId w:val="6"/>
  </w:num>
  <w:num w:numId="8" w16cid:durableId="1531063691">
    <w:abstractNumId w:val="21"/>
  </w:num>
  <w:num w:numId="9" w16cid:durableId="1273900909">
    <w:abstractNumId w:val="19"/>
  </w:num>
  <w:num w:numId="10" w16cid:durableId="1753358114">
    <w:abstractNumId w:val="17"/>
  </w:num>
  <w:num w:numId="11" w16cid:durableId="1422722350">
    <w:abstractNumId w:val="18"/>
  </w:num>
  <w:num w:numId="12" w16cid:durableId="623586784">
    <w:abstractNumId w:val="10"/>
  </w:num>
  <w:num w:numId="13" w16cid:durableId="640429341">
    <w:abstractNumId w:val="3"/>
  </w:num>
  <w:num w:numId="14" w16cid:durableId="531922420">
    <w:abstractNumId w:val="13"/>
  </w:num>
  <w:num w:numId="15" w16cid:durableId="341395277">
    <w:abstractNumId w:val="5"/>
  </w:num>
  <w:num w:numId="16" w16cid:durableId="1022169271">
    <w:abstractNumId w:val="7"/>
  </w:num>
  <w:num w:numId="17" w16cid:durableId="450826676">
    <w:abstractNumId w:val="16"/>
  </w:num>
  <w:num w:numId="18" w16cid:durableId="883174769">
    <w:abstractNumId w:val="0"/>
  </w:num>
  <w:num w:numId="19" w16cid:durableId="1657765031">
    <w:abstractNumId w:val="15"/>
  </w:num>
  <w:num w:numId="20" w16cid:durableId="725497375">
    <w:abstractNumId w:val="22"/>
  </w:num>
  <w:num w:numId="21" w16cid:durableId="2062174312">
    <w:abstractNumId w:val="24"/>
  </w:num>
  <w:num w:numId="22" w16cid:durableId="240140533">
    <w:abstractNumId w:val="1"/>
  </w:num>
  <w:num w:numId="23" w16cid:durableId="673648832">
    <w:abstractNumId w:val="9"/>
  </w:num>
  <w:num w:numId="24" w16cid:durableId="196159830">
    <w:abstractNumId w:val="12"/>
  </w:num>
  <w:num w:numId="25" w16cid:durableId="451024942">
    <w:abstractNumId w:val="26"/>
  </w:num>
  <w:num w:numId="26" w16cid:durableId="2070303140">
    <w:abstractNumId w:val="20"/>
  </w:num>
  <w:num w:numId="27" w16cid:durableId="8116298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trackRevisions/>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E87"/>
    <w:rsid w:val="0000394A"/>
    <w:rsid w:val="00004CDF"/>
    <w:rsid w:val="00010D1B"/>
    <w:rsid w:val="00013A55"/>
    <w:rsid w:val="00015865"/>
    <w:rsid w:val="0001656D"/>
    <w:rsid w:val="000208F3"/>
    <w:rsid w:val="00020A8F"/>
    <w:rsid w:val="00023CB8"/>
    <w:rsid w:val="000305CA"/>
    <w:rsid w:val="00034AB0"/>
    <w:rsid w:val="00035640"/>
    <w:rsid w:val="000363CB"/>
    <w:rsid w:val="00036D70"/>
    <w:rsid w:val="000413AA"/>
    <w:rsid w:val="00046FA1"/>
    <w:rsid w:val="00053394"/>
    <w:rsid w:val="000542B7"/>
    <w:rsid w:val="000554B2"/>
    <w:rsid w:val="00056C2A"/>
    <w:rsid w:val="0005793C"/>
    <w:rsid w:val="0006107B"/>
    <w:rsid w:val="00062C19"/>
    <w:rsid w:val="000701D5"/>
    <w:rsid w:val="00071504"/>
    <w:rsid w:val="00074217"/>
    <w:rsid w:val="00075067"/>
    <w:rsid w:val="0007544A"/>
    <w:rsid w:val="000775F1"/>
    <w:rsid w:val="00077D51"/>
    <w:rsid w:val="00083E88"/>
    <w:rsid w:val="00084AFD"/>
    <w:rsid w:val="00084B45"/>
    <w:rsid w:val="000A3921"/>
    <w:rsid w:val="000A4B89"/>
    <w:rsid w:val="000A65AB"/>
    <w:rsid w:val="000A764E"/>
    <w:rsid w:val="000B0A7A"/>
    <w:rsid w:val="000B135D"/>
    <w:rsid w:val="000B1BB8"/>
    <w:rsid w:val="000B2925"/>
    <w:rsid w:val="000B4C02"/>
    <w:rsid w:val="000C36E5"/>
    <w:rsid w:val="000D050F"/>
    <w:rsid w:val="000D210C"/>
    <w:rsid w:val="000D5900"/>
    <w:rsid w:val="000D6FF4"/>
    <w:rsid w:val="000D7C97"/>
    <w:rsid w:val="000E15C7"/>
    <w:rsid w:val="000E7A25"/>
    <w:rsid w:val="000F4F37"/>
    <w:rsid w:val="000F5823"/>
    <w:rsid w:val="000F6BBF"/>
    <w:rsid w:val="001005F3"/>
    <w:rsid w:val="001029F8"/>
    <w:rsid w:val="00105261"/>
    <w:rsid w:val="00110365"/>
    <w:rsid w:val="00111C3E"/>
    <w:rsid w:val="0011498A"/>
    <w:rsid w:val="00120D5B"/>
    <w:rsid w:val="00121BE5"/>
    <w:rsid w:val="0012403C"/>
    <w:rsid w:val="00125349"/>
    <w:rsid w:val="00127BB0"/>
    <w:rsid w:val="00132263"/>
    <w:rsid w:val="00135C72"/>
    <w:rsid w:val="001413F6"/>
    <w:rsid w:val="00142245"/>
    <w:rsid w:val="001430A1"/>
    <w:rsid w:val="0014537E"/>
    <w:rsid w:val="001454C2"/>
    <w:rsid w:val="001456AC"/>
    <w:rsid w:val="00145D7B"/>
    <w:rsid w:val="0015010F"/>
    <w:rsid w:val="001503D9"/>
    <w:rsid w:val="00151CA7"/>
    <w:rsid w:val="00151ECC"/>
    <w:rsid w:val="00152996"/>
    <w:rsid w:val="00153C7D"/>
    <w:rsid w:val="00156C53"/>
    <w:rsid w:val="00156F57"/>
    <w:rsid w:val="00160517"/>
    <w:rsid w:val="00164598"/>
    <w:rsid w:val="001656D5"/>
    <w:rsid w:val="0016710A"/>
    <w:rsid w:val="001679FC"/>
    <w:rsid w:val="001748D9"/>
    <w:rsid w:val="001754EA"/>
    <w:rsid w:val="00176EEF"/>
    <w:rsid w:val="00177250"/>
    <w:rsid w:val="0017767F"/>
    <w:rsid w:val="00183398"/>
    <w:rsid w:val="001837A1"/>
    <w:rsid w:val="00187550"/>
    <w:rsid w:val="00191D12"/>
    <w:rsid w:val="00195710"/>
    <w:rsid w:val="0019596A"/>
    <w:rsid w:val="001A0765"/>
    <w:rsid w:val="001A0F7B"/>
    <w:rsid w:val="001A2361"/>
    <w:rsid w:val="001A45A7"/>
    <w:rsid w:val="001A7622"/>
    <w:rsid w:val="001B17DD"/>
    <w:rsid w:val="001B374D"/>
    <w:rsid w:val="001B4E0D"/>
    <w:rsid w:val="001B72F1"/>
    <w:rsid w:val="001C1E49"/>
    <w:rsid w:val="001C2A98"/>
    <w:rsid w:val="001C63DE"/>
    <w:rsid w:val="001C6B2E"/>
    <w:rsid w:val="001D1901"/>
    <w:rsid w:val="001D2A46"/>
    <w:rsid w:val="001D3F45"/>
    <w:rsid w:val="001D4C2E"/>
    <w:rsid w:val="001D5171"/>
    <w:rsid w:val="001D6A2B"/>
    <w:rsid w:val="001E0857"/>
    <w:rsid w:val="001E44BA"/>
    <w:rsid w:val="001E5B3B"/>
    <w:rsid w:val="001E5D62"/>
    <w:rsid w:val="001E6ED7"/>
    <w:rsid w:val="001F1667"/>
    <w:rsid w:val="001F1C39"/>
    <w:rsid w:val="001F39C3"/>
    <w:rsid w:val="00201704"/>
    <w:rsid w:val="0020356B"/>
    <w:rsid w:val="002079EB"/>
    <w:rsid w:val="0021161F"/>
    <w:rsid w:val="00211FD1"/>
    <w:rsid w:val="00212E2E"/>
    <w:rsid w:val="002135BD"/>
    <w:rsid w:val="00216241"/>
    <w:rsid w:val="002170B6"/>
    <w:rsid w:val="00217686"/>
    <w:rsid w:val="00217802"/>
    <w:rsid w:val="00222715"/>
    <w:rsid w:val="00223952"/>
    <w:rsid w:val="00223C9D"/>
    <w:rsid w:val="0022403C"/>
    <w:rsid w:val="00224F02"/>
    <w:rsid w:val="002254B8"/>
    <w:rsid w:val="002344F2"/>
    <w:rsid w:val="00234E83"/>
    <w:rsid w:val="00235F11"/>
    <w:rsid w:val="0024254D"/>
    <w:rsid w:val="0024305C"/>
    <w:rsid w:val="002439B8"/>
    <w:rsid w:val="00251E76"/>
    <w:rsid w:val="00253487"/>
    <w:rsid w:val="002539E6"/>
    <w:rsid w:val="00253BD0"/>
    <w:rsid w:val="00261C25"/>
    <w:rsid w:val="00265096"/>
    <w:rsid w:val="00265A0A"/>
    <w:rsid w:val="002660BA"/>
    <w:rsid w:val="002702A1"/>
    <w:rsid w:val="00272155"/>
    <w:rsid w:val="002768F4"/>
    <w:rsid w:val="00276DEA"/>
    <w:rsid w:val="002839BF"/>
    <w:rsid w:val="00283BD8"/>
    <w:rsid w:val="00284058"/>
    <w:rsid w:val="00284EAC"/>
    <w:rsid w:val="00287806"/>
    <w:rsid w:val="002933E4"/>
    <w:rsid w:val="00293750"/>
    <w:rsid w:val="00294FF4"/>
    <w:rsid w:val="00297CF6"/>
    <w:rsid w:val="002A05CE"/>
    <w:rsid w:val="002A18D3"/>
    <w:rsid w:val="002A6D9E"/>
    <w:rsid w:val="002B70E2"/>
    <w:rsid w:val="002C29BE"/>
    <w:rsid w:val="002C5BAB"/>
    <w:rsid w:val="002D3472"/>
    <w:rsid w:val="002E16BF"/>
    <w:rsid w:val="002E3309"/>
    <w:rsid w:val="002E46F2"/>
    <w:rsid w:val="002E56E2"/>
    <w:rsid w:val="002E76D8"/>
    <w:rsid w:val="002E7C66"/>
    <w:rsid w:val="002F3B45"/>
    <w:rsid w:val="00300EAD"/>
    <w:rsid w:val="0030272B"/>
    <w:rsid w:val="00304265"/>
    <w:rsid w:val="003071E7"/>
    <w:rsid w:val="0031015B"/>
    <w:rsid w:val="00315F26"/>
    <w:rsid w:val="00316886"/>
    <w:rsid w:val="00317F96"/>
    <w:rsid w:val="00322280"/>
    <w:rsid w:val="00322B35"/>
    <w:rsid w:val="0032370B"/>
    <w:rsid w:val="00323A55"/>
    <w:rsid w:val="00326230"/>
    <w:rsid w:val="00330B12"/>
    <w:rsid w:val="00333B5B"/>
    <w:rsid w:val="003357B5"/>
    <w:rsid w:val="003407E2"/>
    <w:rsid w:val="00340FF1"/>
    <w:rsid w:val="00344B26"/>
    <w:rsid w:val="00345364"/>
    <w:rsid w:val="00347781"/>
    <w:rsid w:val="00347DFD"/>
    <w:rsid w:val="00352690"/>
    <w:rsid w:val="00352959"/>
    <w:rsid w:val="00352A4E"/>
    <w:rsid w:val="00354241"/>
    <w:rsid w:val="00354DC8"/>
    <w:rsid w:val="0035657F"/>
    <w:rsid w:val="003632A1"/>
    <w:rsid w:val="00363D79"/>
    <w:rsid w:val="003670A8"/>
    <w:rsid w:val="003707A7"/>
    <w:rsid w:val="00370D9D"/>
    <w:rsid w:val="00380465"/>
    <w:rsid w:val="0038048D"/>
    <w:rsid w:val="003857F0"/>
    <w:rsid w:val="00385928"/>
    <w:rsid w:val="00385DC3"/>
    <w:rsid w:val="0039214C"/>
    <w:rsid w:val="00394458"/>
    <w:rsid w:val="00394A3F"/>
    <w:rsid w:val="00395FAE"/>
    <w:rsid w:val="003A06E6"/>
    <w:rsid w:val="003A3B36"/>
    <w:rsid w:val="003A42AC"/>
    <w:rsid w:val="003A682A"/>
    <w:rsid w:val="003A6E39"/>
    <w:rsid w:val="003B150B"/>
    <w:rsid w:val="003B260D"/>
    <w:rsid w:val="003B4844"/>
    <w:rsid w:val="003B5BA2"/>
    <w:rsid w:val="003B5EBE"/>
    <w:rsid w:val="003C22DF"/>
    <w:rsid w:val="003C2BDB"/>
    <w:rsid w:val="003C4D06"/>
    <w:rsid w:val="003C70C1"/>
    <w:rsid w:val="003D3138"/>
    <w:rsid w:val="003D32AA"/>
    <w:rsid w:val="003D4331"/>
    <w:rsid w:val="003D54D2"/>
    <w:rsid w:val="003E2526"/>
    <w:rsid w:val="003E6624"/>
    <w:rsid w:val="003F0536"/>
    <w:rsid w:val="003F098A"/>
    <w:rsid w:val="003F148A"/>
    <w:rsid w:val="003F30DE"/>
    <w:rsid w:val="003F3D87"/>
    <w:rsid w:val="003F430F"/>
    <w:rsid w:val="003F50FE"/>
    <w:rsid w:val="003F6ABA"/>
    <w:rsid w:val="0040073C"/>
    <w:rsid w:val="00401B63"/>
    <w:rsid w:val="00403581"/>
    <w:rsid w:val="00410AB8"/>
    <w:rsid w:val="00411E53"/>
    <w:rsid w:val="004120FB"/>
    <w:rsid w:val="004127D8"/>
    <w:rsid w:val="00412DDE"/>
    <w:rsid w:val="00414D64"/>
    <w:rsid w:val="00420267"/>
    <w:rsid w:val="004226CF"/>
    <w:rsid w:val="00433315"/>
    <w:rsid w:val="00433E1B"/>
    <w:rsid w:val="00434B9C"/>
    <w:rsid w:val="0043506A"/>
    <w:rsid w:val="00436674"/>
    <w:rsid w:val="00437313"/>
    <w:rsid w:val="00437F3A"/>
    <w:rsid w:val="004411B6"/>
    <w:rsid w:val="00443628"/>
    <w:rsid w:val="00443F55"/>
    <w:rsid w:val="00444434"/>
    <w:rsid w:val="00444858"/>
    <w:rsid w:val="00444885"/>
    <w:rsid w:val="00445EE1"/>
    <w:rsid w:val="00446BDF"/>
    <w:rsid w:val="004503BF"/>
    <w:rsid w:val="0045683D"/>
    <w:rsid w:val="00456AFA"/>
    <w:rsid w:val="0045715F"/>
    <w:rsid w:val="00457BDC"/>
    <w:rsid w:val="00462F84"/>
    <w:rsid w:val="004641DA"/>
    <w:rsid w:val="004664C7"/>
    <w:rsid w:val="00470D2A"/>
    <w:rsid w:val="00473041"/>
    <w:rsid w:val="004743FC"/>
    <w:rsid w:val="00474DF6"/>
    <w:rsid w:val="004776E8"/>
    <w:rsid w:val="00477748"/>
    <w:rsid w:val="00480DD5"/>
    <w:rsid w:val="00481F51"/>
    <w:rsid w:val="00484478"/>
    <w:rsid w:val="00484507"/>
    <w:rsid w:val="00484900"/>
    <w:rsid w:val="00484C01"/>
    <w:rsid w:val="00486D3F"/>
    <w:rsid w:val="00490B41"/>
    <w:rsid w:val="00490F06"/>
    <w:rsid w:val="00492F1F"/>
    <w:rsid w:val="00493EE7"/>
    <w:rsid w:val="00494DF7"/>
    <w:rsid w:val="004A5F88"/>
    <w:rsid w:val="004A6290"/>
    <w:rsid w:val="004B0A2F"/>
    <w:rsid w:val="004B3D3D"/>
    <w:rsid w:val="004B50B5"/>
    <w:rsid w:val="004B650A"/>
    <w:rsid w:val="004C2635"/>
    <w:rsid w:val="004C3580"/>
    <w:rsid w:val="004C7C34"/>
    <w:rsid w:val="004D37F5"/>
    <w:rsid w:val="004D413B"/>
    <w:rsid w:val="004D4C0C"/>
    <w:rsid w:val="004D67B4"/>
    <w:rsid w:val="004D71CD"/>
    <w:rsid w:val="004E23BF"/>
    <w:rsid w:val="004E4AB8"/>
    <w:rsid w:val="004E6B01"/>
    <w:rsid w:val="004F08D7"/>
    <w:rsid w:val="004F090B"/>
    <w:rsid w:val="004F192A"/>
    <w:rsid w:val="004F1A20"/>
    <w:rsid w:val="004F77AB"/>
    <w:rsid w:val="00500F80"/>
    <w:rsid w:val="0050593D"/>
    <w:rsid w:val="00507BB4"/>
    <w:rsid w:val="00515937"/>
    <w:rsid w:val="00515B13"/>
    <w:rsid w:val="005166D5"/>
    <w:rsid w:val="00516C38"/>
    <w:rsid w:val="00517DC5"/>
    <w:rsid w:val="0052020B"/>
    <w:rsid w:val="0052022B"/>
    <w:rsid w:val="00520BBA"/>
    <w:rsid w:val="00521F6B"/>
    <w:rsid w:val="005279F8"/>
    <w:rsid w:val="00527F13"/>
    <w:rsid w:val="005309F0"/>
    <w:rsid w:val="005310A6"/>
    <w:rsid w:val="00532690"/>
    <w:rsid w:val="00534A54"/>
    <w:rsid w:val="005350F5"/>
    <w:rsid w:val="00536FD0"/>
    <w:rsid w:val="00541466"/>
    <w:rsid w:val="00541A3E"/>
    <w:rsid w:val="00543157"/>
    <w:rsid w:val="00543CDB"/>
    <w:rsid w:val="00546D51"/>
    <w:rsid w:val="00551CA3"/>
    <w:rsid w:val="0055532E"/>
    <w:rsid w:val="005568CA"/>
    <w:rsid w:val="00562767"/>
    <w:rsid w:val="005628EA"/>
    <w:rsid w:val="00562FCC"/>
    <w:rsid w:val="0056577F"/>
    <w:rsid w:val="00571562"/>
    <w:rsid w:val="00575845"/>
    <w:rsid w:val="005768BC"/>
    <w:rsid w:val="005822F8"/>
    <w:rsid w:val="005854CD"/>
    <w:rsid w:val="005858DA"/>
    <w:rsid w:val="00586DD7"/>
    <w:rsid w:val="00590250"/>
    <w:rsid w:val="00590694"/>
    <w:rsid w:val="00594959"/>
    <w:rsid w:val="00594C35"/>
    <w:rsid w:val="00596362"/>
    <w:rsid w:val="00597B44"/>
    <w:rsid w:val="005A17B8"/>
    <w:rsid w:val="005A5F06"/>
    <w:rsid w:val="005A5F60"/>
    <w:rsid w:val="005B1E01"/>
    <w:rsid w:val="005B355F"/>
    <w:rsid w:val="005B44C6"/>
    <w:rsid w:val="005B4C15"/>
    <w:rsid w:val="005B5A2A"/>
    <w:rsid w:val="005B6DBD"/>
    <w:rsid w:val="005C018B"/>
    <w:rsid w:val="005C228D"/>
    <w:rsid w:val="005C33D0"/>
    <w:rsid w:val="005C46E0"/>
    <w:rsid w:val="005C6454"/>
    <w:rsid w:val="005D09F5"/>
    <w:rsid w:val="005D3E3C"/>
    <w:rsid w:val="005D4324"/>
    <w:rsid w:val="005D51AE"/>
    <w:rsid w:val="005E1F9B"/>
    <w:rsid w:val="005E3FBA"/>
    <w:rsid w:val="005E4D09"/>
    <w:rsid w:val="005E4DE6"/>
    <w:rsid w:val="005E53DE"/>
    <w:rsid w:val="005F0027"/>
    <w:rsid w:val="005F0DFA"/>
    <w:rsid w:val="005F55F8"/>
    <w:rsid w:val="005F778E"/>
    <w:rsid w:val="005F7A6F"/>
    <w:rsid w:val="00600BE3"/>
    <w:rsid w:val="00601F49"/>
    <w:rsid w:val="00603EE3"/>
    <w:rsid w:val="00605861"/>
    <w:rsid w:val="00606AA6"/>
    <w:rsid w:val="00611D82"/>
    <w:rsid w:val="00613B78"/>
    <w:rsid w:val="00614C21"/>
    <w:rsid w:val="00620A02"/>
    <w:rsid w:val="00621B97"/>
    <w:rsid w:val="00622D91"/>
    <w:rsid w:val="00624C0C"/>
    <w:rsid w:val="0062724D"/>
    <w:rsid w:val="0063568D"/>
    <w:rsid w:val="00637B0C"/>
    <w:rsid w:val="00640E63"/>
    <w:rsid w:val="00640F40"/>
    <w:rsid w:val="00641691"/>
    <w:rsid w:val="00645CC9"/>
    <w:rsid w:val="0064635D"/>
    <w:rsid w:val="0065010A"/>
    <w:rsid w:val="00650E55"/>
    <w:rsid w:val="0065148F"/>
    <w:rsid w:val="00654AD1"/>
    <w:rsid w:val="006569D3"/>
    <w:rsid w:val="00661B22"/>
    <w:rsid w:val="0066292D"/>
    <w:rsid w:val="00664603"/>
    <w:rsid w:val="00664AF4"/>
    <w:rsid w:val="006701EF"/>
    <w:rsid w:val="00673BCB"/>
    <w:rsid w:val="006752CD"/>
    <w:rsid w:val="0067694A"/>
    <w:rsid w:val="00677113"/>
    <w:rsid w:val="0068276B"/>
    <w:rsid w:val="00682BC5"/>
    <w:rsid w:val="006838C9"/>
    <w:rsid w:val="00692061"/>
    <w:rsid w:val="006931EC"/>
    <w:rsid w:val="006952BB"/>
    <w:rsid w:val="00695E10"/>
    <w:rsid w:val="00697918"/>
    <w:rsid w:val="006A0DE4"/>
    <w:rsid w:val="006A2103"/>
    <w:rsid w:val="006A449F"/>
    <w:rsid w:val="006A4C39"/>
    <w:rsid w:val="006A6E95"/>
    <w:rsid w:val="006B2887"/>
    <w:rsid w:val="006B5FFF"/>
    <w:rsid w:val="006B67CA"/>
    <w:rsid w:val="006B75CB"/>
    <w:rsid w:val="006B79AA"/>
    <w:rsid w:val="006B7E04"/>
    <w:rsid w:val="006C0768"/>
    <w:rsid w:val="006C1940"/>
    <w:rsid w:val="006C3ECC"/>
    <w:rsid w:val="006C4D93"/>
    <w:rsid w:val="006C7A45"/>
    <w:rsid w:val="006D0F5E"/>
    <w:rsid w:val="006D124D"/>
    <w:rsid w:val="006D5B91"/>
    <w:rsid w:val="006E0D63"/>
    <w:rsid w:val="006E2ABA"/>
    <w:rsid w:val="006E51C4"/>
    <w:rsid w:val="006E5654"/>
    <w:rsid w:val="006E7406"/>
    <w:rsid w:val="006F1016"/>
    <w:rsid w:val="006F1EDB"/>
    <w:rsid w:val="006F5E80"/>
    <w:rsid w:val="00701A7D"/>
    <w:rsid w:val="007036B8"/>
    <w:rsid w:val="00703C3E"/>
    <w:rsid w:val="00705BC5"/>
    <w:rsid w:val="00705D6E"/>
    <w:rsid w:val="00705FFE"/>
    <w:rsid w:val="007071E5"/>
    <w:rsid w:val="00707E2E"/>
    <w:rsid w:val="00714B7B"/>
    <w:rsid w:val="00722E43"/>
    <w:rsid w:val="00731326"/>
    <w:rsid w:val="00731510"/>
    <w:rsid w:val="007403E5"/>
    <w:rsid w:val="0074112B"/>
    <w:rsid w:val="0074187E"/>
    <w:rsid w:val="00741B89"/>
    <w:rsid w:val="00744C4A"/>
    <w:rsid w:val="00744F1A"/>
    <w:rsid w:val="00746B7A"/>
    <w:rsid w:val="00751054"/>
    <w:rsid w:val="007511EC"/>
    <w:rsid w:val="00754053"/>
    <w:rsid w:val="00754258"/>
    <w:rsid w:val="0075574A"/>
    <w:rsid w:val="00757285"/>
    <w:rsid w:val="0076395D"/>
    <w:rsid w:val="00765ADF"/>
    <w:rsid w:val="00773AF2"/>
    <w:rsid w:val="00775457"/>
    <w:rsid w:val="007754A3"/>
    <w:rsid w:val="00776240"/>
    <w:rsid w:val="007809BF"/>
    <w:rsid w:val="0078646F"/>
    <w:rsid w:val="00792C3F"/>
    <w:rsid w:val="00794F5E"/>
    <w:rsid w:val="00795BEB"/>
    <w:rsid w:val="00797DB8"/>
    <w:rsid w:val="007A28F6"/>
    <w:rsid w:val="007A5009"/>
    <w:rsid w:val="007A52F6"/>
    <w:rsid w:val="007A5A77"/>
    <w:rsid w:val="007A7A5E"/>
    <w:rsid w:val="007B1633"/>
    <w:rsid w:val="007B4DB7"/>
    <w:rsid w:val="007B6093"/>
    <w:rsid w:val="007C24F7"/>
    <w:rsid w:val="007C33EE"/>
    <w:rsid w:val="007C4159"/>
    <w:rsid w:val="007C5846"/>
    <w:rsid w:val="007D11D5"/>
    <w:rsid w:val="007D177C"/>
    <w:rsid w:val="007D25FA"/>
    <w:rsid w:val="007D3A78"/>
    <w:rsid w:val="007D6E02"/>
    <w:rsid w:val="007E161F"/>
    <w:rsid w:val="007E2462"/>
    <w:rsid w:val="007E50C9"/>
    <w:rsid w:val="007E5C65"/>
    <w:rsid w:val="007F21CF"/>
    <w:rsid w:val="007F442E"/>
    <w:rsid w:val="007F4C42"/>
    <w:rsid w:val="007F6351"/>
    <w:rsid w:val="007F64BB"/>
    <w:rsid w:val="0080011E"/>
    <w:rsid w:val="008013D2"/>
    <w:rsid w:val="00802142"/>
    <w:rsid w:val="00803009"/>
    <w:rsid w:val="00806F67"/>
    <w:rsid w:val="008108A6"/>
    <w:rsid w:val="00814CA1"/>
    <w:rsid w:val="00816633"/>
    <w:rsid w:val="008210E5"/>
    <w:rsid w:val="008252C9"/>
    <w:rsid w:val="008255A0"/>
    <w:rsid w:val="00826AA0"/>
    <w:rsid w:val="00826E8B"/>
    <w:rsid w:val="008310C9"/>
    <w:rsid w:val="00835875"/>
    <w:rsid w:val="00836991"/>
    <w:rsid w:val="00837657"/>
    <w:rsid w:val="008376CA"/>
    <w:rsid w:val="00840976"/>
    <w:rsid w:val="00840D46"/>
    <w:rsid w:val="00841CF0"/>
    <w:rsid w:val="00842E87"/>
    <w:rsid w:val="00843A0F"/>
    <w:rsid w:val="00846B9E"/>
    <w:rsid w:val="00851629"/>
    <w:rsid w:val="00857A35"/>
    <w:rsid w:val="0086065E"/>
    <w:rsid w:val="00864866"/>
    <w:rsid w:val="00865364"/>
    <w:rsid w:val="008664E8"/>
    <w:rsid w:val="00870421"/>
    <w:rsid w:val="00870FD2"/>
    <w:rsid w:val="00873717"/>
    <w:rsid w:val="00876892"/>
    <w:rsid w:val="00876902"/>
    <w:rsid w:val="00880AD3"/>
    <w:rsid w:val="00881BE1"/>
    <w:rsid w:val="0088747F"/>
    <w:rsid w:val="00887991"/>
    <w:rsid w:val="00891ADC"/>
    <w:rsid w:val="00895687"/>
    <w:rsid w:val="00896DE2"/>
    <w:rsid w:val="008A630D"/>
    <w:rsid w:val="008A6E0A"/>
    <w:rsid w:val="008B0140"/>
    <w:rsid w:val="008B25EB"/>
    <w:rsid w:val="008B3344"/>
    <w:rsid w:val="008B754E"/>
    <w:rsid w:val="008C219A"/>
    <w:rsid w:val="008C473F"/>
    <w:rsid w:val="008C6344"/>
    <w:rsid w:val="008C64E9"/>
    <w:rsid w:val="008C728A"/>
    <w:rsid w:val="008D3309"/>
    <w:rsid w:val="008D79E6"/>
    <w:rsid w:val="008E0D8E"/>
    <w:rsid w:val="008E3BB6"/>
    <w:rsid w:val="008E43CF"/>
    <w:rsid w:val="008F08A3"/>
    <w:rsid w:val="008F3001"/>
    <w:rsid w:val="008F41AE"/>
    <w:rsid w:val="008F7207"/>
    <w:rsid w:val="009012A5"/>
    <w:rsid w:val="00901669"/>
    <w:rsid w:val="00901A75"/>
    <w:rsid w:val="009109C4"/>
    <w:rsid w:val="00913A11"/>
    <w:rsid w:val="00913E84"/>
    <w:rsid w:val="00914E17"/>
    <w:rsid w:val="009161DE"/>
    <w:rsid w:val="00916667"/>
    <w:rsid w:val="00916B05"/>
    <w:rsid w:val="0092771A"/>
    <w:rsid w:val="00927784"/>
    <w:rsid w:val="00930EAA"/>
    <w:rsid w:val="00932A90"/>
    <w:rsid w:val="00932D25"/>
    <w:rsid w:val="0094036C"/>
    <w:rsid w:val="009407E8"/>
    <w:rsid w:val="00944142"/>
    <w:rsid w:val="0094449A"/>
    <w:rsid w:val="00945710"/>
    <w:rsid w:val="00947914"/>
    <w:rsid w:val="009501E8"/>
    <w:rsid w:val="00961E09"/>
    <w:rsid w:val="009625EC"/>
    <w:rsid w:val="00966BD9"/>
    <w:rsid w:val="00967C34"/>
    <w:rsid w:val="0097202B"/>
    <w:rsid w:val="009726F5"/>
    <w:rsid w:val="00972EDE"/>
    <w:rsid w:val="009749B3"/>
    <w:rsid w:val="00974A59"/>
    <w:rsid w:val="0097511A"/>
    <w:rsid w:val="00976412"/>
    <w:rsid w:val="00976F0F"/>
    <w:rsid w:val="0098166C"/>
    <w:rsid w:val="0098380E"/>
    <w:rsid w:val="00984371"/>
    <w:rsid w:val="009860A8"/>
    <w:rsid w:val="00987EB5"/>
    <w:rsid w:val="00991017"/>
    <w:rsid w:val="00991945"/>
    <w:rsid w:val="00993E0B"/>
    <w:rsid w:val="00995532"/>
    <w:rsid w:val="009A1EC5"/>
    <w:rsid w:val="009A3B2B"/>
    <w:rsid w:val="009A48B4"/>
    <w:rsid w:val="009A5F60"/>
    <w:rsid w:val="009A5FF2"/>
    <w:rsid w:val="009A6664"/>
    <w:rsid w:val="009A7E45"/>
    <w:rsid w:val="009B071F"/>
    <w:rsid w:val="009B0AFE"/>
    <w:rsid w:val="009B2879"/>
    <w:rsid w:val="009B41D7"/>
    <w:rsid w:val="009B7106"/>
    <w:rsid w:val="009B750B"/>
    <w:rsid w:val="009C2C2D"/>
    <w:rsid w:val="009C63D4"/>
    <w:rsid w:val="009C7D59"/>
    <w:rsid w:val="009C7EE6"/>
    <w:rsid w:val="009D23F4"/>
    <w:rsid w:val="009D2AA0"/>
    <w:rsid w:val="009D4DF3"/>
    <w:rsid w:val="009D549E"/>
    <w:rsid w:val="009D55F6"/>
    <w:rsid w:val="009E1CBD"/>
    <w:rsid w:val="009E320F"/>
    <w:rsid w:val="009E3E9C"/>
    <w:rsid w:val="009F0F1F"/>
    <w:rsid w:val="009F12E7"/>
    <w:rsid w:val="009F14EA"/>
    <w:rsid w:val="009F2F64"/>
    <w:rsid w:val="009F30DF"/>
    <w:rsid w:val="009F3191"/>
    <w:rsid w:val="009F60EF"/>
    <w:rsid w:val="009F7751"/>
    <w:rsid w:val="00A014E2"/>
    <w:rsid w:val="00A03B9B"/>
    <w:rsid w:val="00A05E05"/>
    <w:rsid w:val="00A065C8"/>
    <w:rsid w:val="00A07D48"/>
    <w:rsid w:val="00A134A8"/>
    <w:rsid w:val="00A1408C"/>
    <w:rsid w:val="00A15086"/>
    <w:rsid w:val="00A16546"/>
    <w:rsid w:val="00A166BA"/>
    <w:rsid w:val="00A17621"/>
    <w:rsid w:val="00A25F30"/>
    <w:rsid w:val="00A2724A"/>
    <w:rsid w:val="00A300DD"/>
    <w:rsid w:val="00A30AA6"/>
    <w:rsid w:val="00A322DC"/>
    <w:rsid w:val="00A3327C"/>
    <w:rsid w:val="00A337A2"/>
    <w:rsid w:val="00A366F6"/>
    <w:rsid w:val="00A367AF"/>
    <w:rsid w:val="00A37F7F"/>
    <w:rsid w:val="00A41124"/>
    <w:rsid w:val="00A42767"/>
    <w:rsid w:val="00A45DFA"/>
    <w:rsid w:val="00A4608D"/>
    <w:rsid w:val="00A464DF"/>
    <w:rsid w:val="00A54DA7"/>
    <w:rsid w:val="00A61D41"/>
    <w:rsid w:val="00A639C7"/>
    <w:rsid w:val="00A650C9"/>
    <w:rsid w:val="00A717B1"/>
    <w:rsid w:val="00A7576F"/>
    <w:rsid w:val="00A77F08"/>
    <w:rsid w:val="00A81820"/>
    <w:rsid w:val="00A8200F"/>
    <w:rsid w:val="00A82C8F"/>
    <w:rsid w:val="00A83CD4"/>
    <w:rsid w:val="00A840C1"/>
    <w:rsid w:val="00A847DC"/>
    <w:rsid w:val="00A847FA"/>
    <w:rsid w:val="00A848EC"/>
    <w:rsid w:val="00A84D23"/>
    <w:rsid w:val="00A875C1"/>
    <w:rsid w:val="00A87F67"/>
    <w:rsid w:val="00A95531"/>
    <w:rsid w:val="00A9597F"/>
    <w:rsid w:val="00A96712"/>
    <w:rsid w:val="00A970DD"/>
    <w:rsid w:val="00A97EDC"/>
    <w:rsid w:val="00AA08CF"/>
    <w:rsid w:val="00AA2BF0"/>
    <w:rsid w:val="00AA7794"/>
    <w:rsid w:val="00AA77E7"/>
    <w:rsid w:val="00AA78C9"/>
    <w:rsid w:val="00AA797B"/>
    <w:rsid w:val="00AB1D27"/>
    <w:rsid w:val="00AB2823"/>
    <w:rsid w:val="00AB45C5"/>
    <w:rsid w:val="00AC097F"/>
    <w:rsid w:val="00AC1556"/>
    <w:rsid w:val="00AC4950"/>
    <w:rsid w:val="00AC52CE"/>
    <w:rsid w:val="00AD170F"/>
    <w:rsid w:val="00AD1B0E"/>
    <w:rsid w:val="00AD1EEB"/>
    <w:rsid w:val="00AD45C2"/>
    <w:rsid w:val="00AD7023"/>
    <w:rsid w:val="00AD7AA5"/>
    <w:rsid w:val="00AE09A2"/>
    <w:rsid w:val="00AE1C31"/>
    <w:rsid w:val="00AE324D"/>
    <w:rsid w:val="00AE65B2"/>
    <w:rsid w:val="00AE7C65"/>
    <w:rsid w:val="00AF16F4"/>
    <w:rsid w:val="00AF1AAC"/>
    <w:rsid w:val="00AF3168"/>
    <w:rsid w:val="00AF423D"/>
    <w:rsid w:val="00AF523A"/>
    <w:rsid w:val="00AF55AC"/>
    <w:rsid w:val="00AF7A8A"/>
    <w:rsid w:val="00B06C87"/>
    <w:rsid w:val="00B10939"/>
    <w:rsid w:val="00B11DBB"/>
    <w:rsid w:val="00B12F47"/>
    <w:rsid w:val="00B13744"/>
    <w:rsid w:val="00B158CE"/>
    <w:rsid w:val="00B17541"/>
    <w:rsid w:val="00B20505"/>
    <w:rsid w:val="00B21B90"/>
    <w:rsid w:val="00B21CCE"/>
    <w:rsid w:val="00B24D9F"/>
    <w:rsid w:val="00B32244"/>
    <w:rsid w:val="00B33F33"/>
    <w:rsid w:val="00B36B22"/>
    <w:rsid w:val="00B37D0B"/>
    <w:rsid w:val="00B411F8"/>
    <w:rsid w:val="00B420F2"/>
    <w:rsid w:val="00B44657"/>
    <w:rsid w:val="00B474A9"/>
    <w:rsid w:val="00B50422"/>
    <w:rsid w:val="00B50BC3"/>
    <w:rsid w:val="00B510E9"/>
    <w:rsid w:val="00B519E3"/>
    <w:rsid w:val="00B6187D"/>
    <w:rsid w:val="00B63824"/>
    <w:rsid w:val="00B64CFD"/>
    <w:rsid w:val="00B663AC"/>
    <w:rsid w:val="00B66C90"/>
    <w:rsid w:val="00B66F52"/>
    <w:rsid w:val="00B7117A"/>
    <w:rsid w:val="00B71E62"/>
    <w:rsid w:val="00B71EAC"/>
    <w:rsid w:val="00B726B5"/>
    <w:rsid w:val="00B73410"/>
    <w:rsid w:val="00B74AA0"/>
    <w:rsid w:val="00B74CD1"/>
    <w:rsid w:val="00B75968"/>
    <w:rsid w:val="00B76C02"/>
    <w:rsid w:val="00B77CF5"/>
    <w:rsid w:val="00B8114C"/>
    <w:rsid w:val="00B85E74"/>
    <w:rsid w:val="00B8730B"/>
    <w:rsid w:val="00B873DC"/>
    <w:rsid w:val="00B87C92"/>
    <w:rsid w:val="00B91FA4"/>
    <w:rsid w:val="00B9298F"/>
    <w:rsid w:val="00B93BC0"/>
    <w:rsid w:val="00B97062"/>
    <w:rsid w:val="00BA08BD"/>
    <w:rsid w:val="00BA2441"/>
    <w:rsid w:val="00BA5319"/>
    <w:rsid w:val="00BA5A01"/>
    <w:rsid w:val="00BA63A9"/>
    <w:rsid w:val="00BA6F7C"/>
    <w:rsid w:val="00BA7D6A"/>
    <w:rsid w:val="00BB0B53"/>
    <w:rsid w:val="00BB402B"/>
    <w:rsid w:val="00BB4472"/>
    <w:rsid w:val="00BB4A60"/>
    <w:rsid w:val="00BB6A86"/>
    <w:rsid w:val="00BC0DA5"/>
    <w:rsid w:val="00BC4A31"/>
    <w:rsid w:val="00BD0031"/>
    <w:rsid w:val="00BD0E59"/>
    <w:rsid w:val="00BD70C1"/>
    <w:rsid w:val="00BE44AA"/>
    <w:rsid w:val="00BE5C65"/>
    <w:rsid w:val="00BE6BCA"/>
    <w:rsid w:val="00BF04C1"/>
    <w:rsid w:val="00BF08E8"/>
    <w:rsid w:val="00BF242C"/>
    <w:rsid w:val="00BF67E0"/>
    <w:rsid w:val="00C00A19"/>
    <w:rsid w:val="00C01C18"/>
    <w:rsid w:val="00C020B7"/>
    <w:rsid w:val="00C03E5D"/>
    <w:rsid w:val="00C07E71"/>
    <w:rsid w:val="00C11B52"/>
    <w:rsid w:val="00C12059"/>
    <w:rsid w:val="00C14333"/>
    <w:rsid w:val="00C150BE"/>
    <w:rsid w:val="00C16E23"/>
    <w:rsid w:val="00C214AB"/>
    <w:rsid w:val="00C2397F"/>
    <w:rsid w:val="00C26A5C"/>
    <w:rsid w:val="00C27328"/>
    <w:rsid w:val="00C27B8F"/>
    <w:rsid w:val="00C31D95"/>
    <w:rsid w:val="00C33914"/>
    <w:rsid w:val="00C348D6"/>
    <w:rsid w:val="00C35B5A"/>
    <w:rsid w:val="00C37845"/>
    <w:rsid w:val="00C41462"/>
    <w:rsid w:val="00C44DD3"/>
    <w:rsid w:val="00C450DD"/>
    <w:rsid w:val="00C4622A"/>
    <w:rsid w:val="00C470EA"/>
    <w:rsid w:val="00C52E78"/>
    <w:rsid w:val="00C53A5D"/>
    <w:rsid w:val="00C53B88"/>
    <w:rsid w:val="00C54452"/>
    <w:rsid w:val="00C55D06"/>
    <w:rsid w:val="00C57046"/>
    <w:rsid w:val="00C6345B"/>
    <w:rsid w:val="00C6519F"/>
    <w:rsid w:val="00C67558"/>
    <w:rsid w:val="00C70D3E"/>
    <w:rsid w:val="00C72FF3"/>
    <w:rsid w:val="00C75031"/>
    <w:rsid w:val="00C775C8"/>
    <w:rsid w:val="00C8113C"/>
    <w:rsid w:val="00C829D8"/>
    <w:rsid w:val="00C82AB3"/>
    <w:rsid w:val="00C8322E"/>
    <w:rsid w:val="00C8350A"/>
    <w:rsid w:val="00C845F0"/>
    <w:rsid w:val="00C910BA"/>
    <w:rsid w:val="00C918DA"/>
    <w:rsid w:val="00C93B2F"/>
    <w:rsid w:val="00C93DC7"/>
    <w:rsid w:val="00CA0CE7"/>
    <w:rsid w:val="00CA43E3"/>
    <w:rsid w:val="00CA4E46"/>
    <w:rsid w:val="00CA634F"/>
    <w:rsid w:val="00CB1704"/>
    <w:rsid w:val="00CB24EE"/>
    <w:rsid w:val="00CB56F1"/>
    <w:rsid w:val="00CC742A"/>
    <w:rsid w:val="00CD076A"/>
    <w:rsid w:val="00CD257A"/>
    <w:rsid w:val="00CD4BE3"/>
    <w:rsid w:val="00CD678D"/>
    <w:rsid w:val="00CD6E24"/>
    <w:rsid w:val="00CE7F43"/>
    <w:rsid w:val="00CF0EF7"/>
    <w:rsid w:val="00CF1BBC"/>
    <w:rsid w:val="00CF2661"/>
    <w:rsid w:val="00CF42E3"/>
    <w:rsid w:val="00D00631"/>
    <w:rsid w:val="00D014B9"/>
    <w:rsid w:val="00D05E50"/>
    <w:rsid w:val="00D07B35"/>
    <w:rsid w:val="00D112EC"/>
    <w:rsid w:val="00D12FF9"/>
    <w:rsid w:val="00D15FA3"/>
    <w:rsid w:val="00D169E6"/>
    <w:rsid w:val="00D207D5"/>
    <w:rsid w:val="00D21C90"/>
    <w:rsid w:val="00D22079"/>
    <w:rsid w:val="00D22516"/>
    <w:rsid w:val="00D23FFE"/>
    <w:rsid w:val="00D24988"/>
    <w:rsid w:val="00D24E4C"/>
    <w:rsid w:val="00D27CB1"/>
    <w:rsid w:val="00D3052C"/>
    <w:rsid w:val="00D3089B"/>
    <w:rsid w:val="00D327EE"/>
    <w:rsid w:val="00D328FD"/>
    <w:rsid w:val="00D33817"/>
    <w:rsid w:val="00D37475"/>
    <w:rsid w:val="00D37900"/>
    <w:rsid w:val="00D41D75"/>
    <w:rsid w:val="00D421C8"/>
    <w:rsid w:val="00D43C1A"/>
    <w:rsid w:val="00D44009"/>
    <w:rsid w:val="00D45850"/>
    <w:rsid w:val="00D47B9B"/>
    <w:rsid w:val="00D50A3B"/>
    <w:rsid w:val="00D51753"/>
    <w:rsid w:val="00D53B41"/>
    <w:rsid w:val="00D56B04"/>
    <w:rsid w:val="00D61B95"/>
    <w:rsid w:val="00D61DFD"/>
    <w:rsid w:val="00D65079"/>
    <w:rsid w:val="00D65695"/>
    <w:rsid w:val="00D65A4A"/>
    <w:rsid w:val="00D672AE"/>
    <w:rsid w:val="00D71A4A"/>
    <w:rsid w:val="00D7268C"/>
    <w:rsid w:val="00D7319B"/>
    <w:rsid w:val="00D74512"/>
    <w:rsid w:val="00D74EFF"/>
    <w:rsid w:val="00D75B72"/>
    <w:rsid w:val="00D7634E"/>
    <w:rsid w:val="00D83183"/>
    <w:rsid w:val="00D831E0"/>
    <w:rsid w:val="00D838A4"/>
    <w:rsid w:val="00D83A81"/>
    <w:rsid w:val="00D844BA"/>
    <w:rsid w:val="00D84C8B"/>
    <w:rsid w:val="00D85084"/>
    <w:rsid w:val="00D85A54"/>
    <w:rsid w:val="00D85D48"/>
    <w:rsid w:val="00D90BCC"/>
    <w:rsid w:val="00D92658"/>
    <w:rsid w:val="00D93818"/>
    <w:rsid w:val="00D93CCA"/>
    <w:rsid w:val="00D949C0"/>
    <w:rsid w:val="00D958B2"/>
    <w:rsid w:val="00D95B7D"/>
    <w:rsid w:val="00D96B67"/>
    <w:rsid w:val="00DA0059"/>
    <w:rsid w:val="00DA110E"/>
    <w:rsid w:val="00DB0D6A"/>
    <w:rsid w:val="00DB1F0A"/>
    <w:rsid w:val="00DB2597"/>
    <w:rsid w:val="00DB7E34"/>
    <w:rsid w:val="00DC03B0"/>
    <w:rsid w:val="00DC09CB"/>
    <w:rsid w:val="00DC1B8C"/>
    <w:rsid w:val="00DC365C"/>
    <w:rsid w:val="00DD3427"/>
    <w:rsid w:val="00DD3AD9"/>
    <w:rsid w:val="00DD457A"/>
    <w:rsid w:val="00DD550B"/>
    <w:rsid w:val="00DD5BF4"/>
    <w:rsid w:val="00DE02F0"/>
    <w:rsid w:val="00DE04A3"/>
    <w:rsid w:val="00DE2265"/>
    <w:rsid w:val="00DE3212"/>
    <w:rsid w:val="00DE68CC"/>
    <w:rsid w:val="00DE6D94"/>
    <w:rsid w:val="00DF14D6"/>
    <w:rsid w:val="00DF30D3"/>
    <w:rsid w:val="00DF3397"/>
    <w:rsid w:val="00DF349D"/>
    <w:rsid w:val="00DF50A2"/>
    <w:rsid w:val="00DF71CC"/>
    <w:rsid w:val="00E005CD"/>
    <w:rsid w:val="00E04167"/>
    <w:rsid w:val="00E06298"/>
    <w:rsid w:val="00E06AAD"/>
    <w:rsid w:val="00E06FE0"/>
    <w:rsid w:val="00E1029D"/>
    <w:rsid w:val="00E1332D"/>
    <w:rsid w:val="00E13776"/>
    <w:rsid w:val="00E15651"/>
    <w:rsid w:val="00E16F97"/>
    <w:rsid w:val="00E17005"/>
    <w:rsid w:val="00E20A4B"/>
    <w:rsid w:val="00E24956"/>
    <w:rsid w:val="00E259BF"/>
    <w:rsid w:val="00E32704"/>
    <w:rsid w:val="00E327B1"/>
    <w:rsid w:val="00E335B8"/>
    <w:rsid w:val="00E3385B"/>
    <w:rsid w:val="00E33E1E"/>
    <w:rsid w:val="00E36ED9"/>
    <w:rsid w:val="00E41EB7"/>
    <w:rsid w:val="00E443CF"/>
    <w:rsid w:val="00E44476"/>
    <w:rsid w:val="00E4576D"/>
    <w:rsid w:val="00E468E2"/>
    <w:rsid w:val="00E52D1C"/>
    <w:rsid w:val="00E53FA6"/>
    <w:rsid w:val="00E54045"/>
    <w:rsid w:val="00E54DD6"/>
    <w:rsid w:val="00E56059"/>
    <w:rsid w:val="00E60429"/>
    <w:rsid w:val="00E66349"/>
    <w:rsid w:val="00E742B1"/>
    <w:rsid w:val="00E74A21"/>
    <w:rsid w:val="00E77A2E"/>
    <w:rsid w:val="00E77D00"/>
    <w:rsid w:val="00E819E3"/>
    <w:rsid w:val="00E82DBC"/>
    <w:rsid w:val="00E83A62"/>
    <w:rsid w:val="00E83F67"/>
    <w:rsid w:val="00E864A6"/>
    <w:rsid w:val="00E87C87"/>
    <w:rsid w:val="00E93D9D"/>
    <w:rsid w:val="00E94861"/>
    <w:rsid w:val="00E94EAF"/>
    <w:rsid w:val="00E95D7A"/>
    <w:rsid w:val="00E975DE"/>
    <w:rsid w:val="00EA09D7"/>
    <w:rsid w:val="00EA1A33"/>
    <w:rsid w:val="00EA410F"/>
    <w:rsid w:val="00EA42DC"/>
    <w:rsid w:val="00EA6E93"/>
    <w:rsid w:val="00EB0149"/>
    <w:rsid w:val="00EB440B"/>
    <w:rsid w:val="00EB78AB"/>
    <w:rsid w:val="00EB7BF5"/>
    <w:rsid w:val="00EC1F5C"/>
    <w:rsid w:val="00EC3228"/>
    <w:rsid w:val="00EC5FAA"/>
    <w:rsid w:val="00EC7730"/>
    <w:rsid w:val="00ED07FD"/>
    <w:rsid w:val="00ED0B62"/>
    <w:rsid w:val="00ED10EF"/>
    <w:rsid w:val="00ED38E4"/>
    <w:rsid w:val="00ED60DE"/>
    <w:rsid w:val="00ED76D6"/>
    <w:rsid w:val="00ED7A81"/>
    <w:rsid w:val="00EE36CD"/>
    <w:rsid w:val="00EE597C"/>
    <w:rsid w:val="00EE6961"/>
    <w:rsid w:val="00EE7167"/>
    <w:rsid w:val="00EF0F4B"/>
    <w:rsid w:val="00EF5A3F"/>
    <w:rsid w:val="00F000BF"/>
    <w:rsid w:val="00F02771"/>
    <w:rsid w:val="00F04A3E"/>
    <w:rsid w:val="00F07ABF"/>
    <w:rsid w:val="00F10D5C"/>
    <w:rsid w:val="00F11C4A"/>
    <w:rsid w:val="00F120F6"/>
    <w:rsid w:val="00F13782"/>
    <w:rsid w:val="00F16AE3"/>
    <w:rsid w:val="00F16C33"/>
    <w:rsid w:val="00F16DE9"/>
    <w:rsid w:val="00F17845"/>
    <w:rsid w:val="00F17A18"/>
    <w:rsid w:val="00F209F7"/>
    <w:rsid w:val="00F22DAB"/>
    <w:rsid w:val="00F2690C"/>
    <w:rsid w:val="00F27D63"/>
    <w:rsid w:val="00F33246"/>
    <w:rsid w:val="00F372D9"/>
    <w:rsid w:val="00F40ECC"/>
    <w:rsid w:val="00F50EF5"/>
    <w:rsid w:val="00F51862"/>
    <w:rsid w:val="00F54E72"/>
    <w:rsid w:val="00F56E57"/>
    <w:rsid w:val="00F609E5"/>
    <w:rsid w:val="00F62B1F"/>
    <w:rsid w:val="00F62CFA"/>
    <w:rsid w:val="00F6319C"/>
    <w:rsid w:val="00F656E2"/>
    <w:rsid w:val="00F7039D"/>
    <w:rsid w:val="00F7616E"/>
    <w:rsid w:val="00F7796A"/>
    <w:rsid w:val="00F8291D"/>
    <w:rsid w:val="00F84308"/>
    <w:rsid w:val="00F85210"/>
    <w:rsid w:val="00F85664"/>
    <w:rsid w:val="00F92F76"/>
    <w:rsid w:val="00F9374D"/>
    <w:rsid w:val="00F951C0"/>
    <w:rsid w:val="00F97B30"/>
    <w:rsid w:val="00FA2E8C"/>
    <w:rsid w:val="00FA4661"/>
    <w:rsid w:val="00FA4BD7"/>
    <w:rsid w:val="00FB1530"/>
    <w:rsid w:val="00FB19B3"/>
    <w:rsid w:val="00FB2AB2"/>
    <w:rsid w:val="00FB4223"/>
    <w:rsid w:val="00FC1297"/>
    <w:rsid w:val="00FC594F"/>
    <w:rsid w:val="00FC72E0"/>
    <w:rsid w:val="00FD0334"/>
    <w:rsid w:val="00FD0940"/>
    <w:rsid w:val="00FD0CEF"/>
    <w:rsid w:val="00FD224F"/>
    <w:rsid w:val="00FD33A8"/>
    <w:rsid w:val="00FD33C0"/>
    <w:rsid w:val="00FD3F66"/>
    <w:rsid w:val="00FD5F77"/>
    <w:rsid w:val="00FD7A16"/>
    <w:rsid w:val="00FE2CFC"/>
    <w:rsid w:val="00FE3430"/>
    <w:rsid w:val="00FE3E35"/>
    <w:rsid w:val="00FE5C41"/>
    <w:rsid w:val="00FF585E"/>
    <w:rsid w:val="00FF60A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8072B"/>
  <w15:chartTrackingRefBased/>
  <w15:docId w15:val="{05D3F506-C5BC-4CE2-BBAA-A0BEC8B0E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8CC"/>
    <w:rPr>
      <w:rFonts w:ascii="Times New Roman" w:hAnsi="Times New Roman"/>
      <w:sz w:val="24"/>
    </w:rPr>
  </w:style>
  <w:style w:type="paragraph" w:styleId="Balk1">
    <w:name w:val="heading 1"/>
    <w:basedOn w:val="Normal"/>
    <w:next w:val="Normal"/>
    <w:link w:val="Balk1Char"/>
    <w:uiPriority w:val="9"/>
    <w:qFormat/>
    <w:rsid w:val="00754258"/>
    <w:pPr>
      <w:keepNext/>
      <w:keepLines/>
      <w:spacing w:before="240" w:after="0"/>
      <w:outlineLvl w:val="0"/>
    </w:pPr>
    <w:rPr>
      <w:rFonts w:eastAsiaTheme="majorEastAsia" w:cstheme="majorBidi"/>
      <w:b/>
      <w:szCs w:val="32"/>
    </w:rPr>
  </w:style>
  <w:style w:type="paragraph" w:styleId="Balk2">
    <w:name w:val="heading 2"/>
    <w:basedOn w:val="Normal"/>
    <w:next w:val="Normal"/>
    <w:link w:val="Balk2Char"/>
    <w:uiPriority w:val="9"/>
    <w:unhideWhenUsed/>
    <w:qFormat/>
    <w:rsid w:val="006A449F"/>
    <w:pPr>
      <w:keepNext/>
      <w:keepLines/>
      <w:spacing w:before="40" w:after="0"/>
      <w:outlineLvl w:val="1"/>
    </w:pPr>
    <w:rPr>
      <w:rFonts w:asciiTheme="majorBidi" w:eastAsiaTheme="majorEastAsia" w:hAnsiTheme="majorBidi" w:cstheme="majorBidi"/>
      <w:b/>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A449F"/>
    <w:rPr>
      <w:rFonts w:asciiTheme="majorBidi" w:eastAsiaTheme="majorEastAsia" w:hAnsiTheme="majorBidi" w:cstheme="majorBidi"/>
      <w:b/>
      <w:sz w:val="24"/>
      <w:szCs w:val="26"/>
    </w:rPr>
  </w:style>
  <w:style w:type="paragraph" w:styleId="stBilgi">
    <w:name w:val="header"/>
    <w:basedOn w:val="Normal"/>
    <w:link w:val="stBilgiChar"/>
    <w:uiPriority w:val="99"/>
    <w:unhideWhenUsed/>
    <w:rsid w:val="00842E87"/>
    <w:pPr>
      <w:tabs>
        <w:tab w:val="center" w:pos="4153"/>
        <w:tab w:val="right" w:pos="8306"/>
      </w:tabs>
      <w:spacing w:after="0" w:line="240" w:lineRule="auto"/>
    </w:pPr>
  </w:style>
  <w:style w:type="character" w:customStyle="1" w:styleId="stBilgiChar">
    <w:name w:val="Üst Bilgi Char"/>
    <w:basedOn w:val="VarsaylanParagrafYazTipi"/>
    <w:link w:val="stBilgi"/>
    <w:uiPriority w:val="99"/>
    <w:rsid w:val="00842E87"/>
  </w:style>
  <w:style w:type="paragraph" w:styleId="AltBilgi">
    <w:name w:val="footer"/>
    <w:basedOn w:val="Normal"/>
    <w:link w:val="AltBilgiChar"/>
    <w:uiPriority w:val="99"/>
    <w:unhideWhenUsed/>
    <w:rsid w:val="00842E87"/>
    <w:pPr>
      <w:tabs>
        <w:tab w:val="center" w:pos="4153"/>
        <w:tab w:val="right" w:pos="8306"/>
      </w:tabs>
      <w:spacing w:after="0" w:line="240" w:lineRule="auto"/>
    </w:pPr>
  </w:style>
  <w:style w:type="character" w:customStyle="1" w:styleId="AltBilgiChar">
    <w:name w:val="Alt Bilgi Char"/>
    <w:basedOn w:val="VarsaylanParagrafYazTipi"/>
    <w:link w:val="AltBilgi"/>
    <w:uiPriority w:val="99"/>
    <w:rsid w:val="00842E87"/>
  </w:style>
  <w:style w:type="paragraph" w:styleId="DipnotMetni">
    <w:name w:val="footnote text"/>
    <w:basedOn w:val="Normal"/>
    <w:link w:val="DipnotMetniChar"/>
    <w:uiPriority w:val="99"/>
    <w:unhideWhenUsed/>
    <w:rsid w:val="00842E87"/>
    <w:pPr>
      <w:spacing w:after="0" w:line="240" w:lineRule="auto"/>
    </w:pPr>
    <w:rPr>
      <w:sz w:val="20"/>
      <w:szCs w:val="20"/>
    </w:rPr>
  </w:style>
  <w:style w:type="character" w:customStyle="1" w:styleId="DipnotMetniChar">
    <w:name w:val="Dipnot Metni Char"/>
    <w:basedOn w:val="VarsaylanParagrafYazTipi"/>
    <w:link w:val="DipnotMetni"/>
    <w:uiPriority w:val="99"/>
    <w:rsid w:val="00842E87"/>
    <w:rPr>
      <w:sz w:val="20"/>
      <w:szCs w:val="20"/>
    </w:rPr>
  </w:style>
  <w:style w:type="character" w:styleId="DipnotBavurusu">
    <w:name w:val="footnote reference"/>
    <w:basedOn w:val="VarsaylanParagrafYazTipi"/>
    <w:uiPriority w:val="99"/>
    <w:semiHidden/>
    <w:unhideWhenUsed/>
    <w:rsid w:val="00842E87"/>
    <w:rPr>
      <w:vertAlign w:val="superscript"/>
    </w:rPr>
  </w:style>
  <w:style w:type="paragraph" w:styleId="ListeParagraf">
    <w:name w:val="List Paragraph"/>
    <w:basedOn w:val="Normal"/>
    <w:uiPriority w:val="34"/>
    <w:qFormat/>
    <w:rsid w:val="00842E87"/>
    <w:pPr>
      <w:ind w:left="720"/>
      <w:contextualSpacing/>
    </w:pPr>
  </w:style>
  <w:style w:type="character" w:customStyle="1" w:styleId="Balk1Char">
    <w:name w:val="Başlık 1 Char"/>
    <w:basedOn w:val="VarsaylanParagrafYazTipi"/>
    <w:link w:val="Balk1"/>
    <w:uiPriority w:val="9"/>
    <w:rsid w:val="00754258"/>
    <w:rPr>
      <w:rFonts w:ascii="Times New Roman" w:eastAsiaTheme="majorEastAsia" w:hAnsi="Times New Roman" w:cstheme="majorBidi"/>
      <w:b/>
      <w:sz w:val="24"/>
      <w:szCs w:val="32"/>
    </w:rPr>
  </w:style>
  <w:style w:type="paragraph" w:styleId="TBal">
    <w:name w:val="TOC Heading"/>
    <w:basedOn w:val="Balk1"/>
    <w:next w:val="Normal"/>
    <w:uiPriority w:val="39"/>
    <w:unhideWhenUsed/>
    <w:qFormat/>
    <w:rsid w:val="00842E87"/>
    <w:pPr>
      <w:outlineLvl w:val="9"/>
    </w:pPr>
    <w:rPr>
      <w:lang w:eastAsia="tr-TR"/>
    </w:rPr>
  </w:style>
  <w:style w:type="paragraph" w:styleId="T2">
    <w:name w:val="toc 2"/>
    <w:basedOn w:val="Normal"/>
    <w:next w:val="Normal"/>
    <w:autoRedefine/>
    <w:uiPriority w:val="39"/>
    <w:unhideWhenUsed/>
    <w:rsid w:val="00D949C0"/>
    <w:pPr>
      <w:tabs>
        <w:tab w:val="left" w:pos="284"/>
        <w:tab w:val="left" w:pos="426"/>
        <w:tab w:val="right" w:leader="dot" w:pos="8296"/>
      </w:tabs>
      <w:spacing w:line="360" w:lineRule="auto"/>
      <w:ind w:left="220"/>
      <w:jc w:val="both"/>
    </w:pPr>
    <w:rPr>
      <w:rFonts w:asciiTheme="majorBidi" w:hAnsiTheme="majorBidi"/>
      <w:noProof/>
    </w:rPr>
  </w:style>
  <w:style w:type="character" w:styleId="AklamaBavurusu">
    <w:name w:val="annotation reference"/>
    <w:basedOn w:val="VarsaylanParagrafYazTipi"/>
    <w:uiPriority w:val="99"/>
    <w:semiHidden/>
    <w:unhideWhenUsed/>
    <w:rsid w:val="00F7039D"/>
    <w:rPr>
      <w:sz w:val="16"/>
      <w:szCs w:val="16"/>
    </w:rPr>
  </w:style>
  <w:style w:type="paragraph" w:styleId="AklamaMetni">
    <w:name w:val="annotation text"/>
    <w:basedOn w:val="Normal"/>
    <w:link w:val="AklamaMetniChar"/>
    <w:uiPriority w:val="99"/>
    <w:unhideWhenUsed/>
    <w:rsid w:val="00F7039D"/>
    <w:pPr>
      <w:spacing w:line="240" w:lineRule="auto"/>
    </w:pPr>
    <w:rPr>
      <w:sz w:val="20"/>
      <w:szCs w:val="20"/>
    </w:rPr>
  </w:style>
  <w:style w:type="character" w:customStyle="1" w:styleId="AklamaMetniChar">
    <w:name w:val="Açıklama Metni Char"/>
    <w:basedOn w:val="VarsaylanParagrafYazTipi"/>
    <w:link w:val="AklamaMetni"/>
    <w:uiPriority w:val="99"/>
    <w:rsid w:val="00F7039D"/>
    <w:rPr>
      <w:sz w:val="20"/>
      <w:szCs w:val="20"/>
    </w:rPr>
  </w:style>
  <w:style w:type="paragraph" w:styleId="AklamaKonusu">
    <w:name w:val="annotation subject"/>
    <w:basedOn w:val="AklamaMetni"/>
    <w:next w:val="AklamaMetni"/>
    <w:link w:val="AklamaKonusuChar"/>
    <w:uiPriority w:val="99"/>
    <w:semiHidden/>
    <w:unhideWhenUsed/>
    <w:rsid w:val="00F7039D"/>
    <w:rPr>
      <w:b/>
      <w:bCs/>
    </w:rPr>
  </w:style>
  <w:style w:type="character" w:customStyle="1" w:styleId="AklamaKonusuChar">
    <w:name w:val="Açıklama Konusu Char"/>
    <w:basedOn w:val="AklamaMetniChar"/>
    <w:link w:val="AklamaKonusu"/>
    <w:uiPriority w:val="99"/>
    <w:semiHidden/>
    <w:rsid w:val="00F7039D"/>
    <w:rPr>
      <w:b/>
      <w:bCs/>
      <w:sz w:val="20"/>
      <w:szCs w:val="20"/>
    </w:rPr>
  </w:style>
  <w:style w:type="paragraph" w:styleId="BalonMetni">
    <w:name w:val="Balloon Text"/>
    <w:basedOn w:val="Normal"/>
    <w:link w:val="BalonMetniChar"/>
    <w:uiPriority w:val="99"/>
    <w:semiHidden/>
    <w:unhideWhenUsed/>
    <w:rsid w:val="00F7039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7039D"/>
    <w:rPr>
      <w:rFonts w:ascii="Segoe UI" w:hAnsi="Segoe UI" w:cs="Segoe UI"/>
      <w:sz w:val="18"/>
      <w:szCs w:val="18"/>
    </w:rPr>
  </w:style>
  <w:style w:type="character" w:customStyle="1" w:styleId="fontstyle01">
    <w:name w:val="fontstyle01"/>
    <w:basedOn w:val="VarsaylanParagrafYazTipi"/>
    <w:rsid w:val="009D23F4"/>
    <w:rPr>
      <w:rFonts w:ascii="MinionPro-Regular" w:hAnsi="MinionPro-Regular" w:hint="default"/>
      <w:b w:val="0"/>
      <w:bCs w:val="0"/>
      <w:i w:val="0"/>
      <w:iCs w:val="0"/>
      <w:color w:val="000000"/>
      <w:sz w:val="22"/>
      <w:szCs w:val="22"/>
    </w:rPr>
  </w:style>
  <w:style w:type="character" w:styleId="Kpr">
    <w:name w:val="Hyperlink"/>
    <w:basedOn w:val="VarsaylanParagrafYazTipi"/>
    <w:uiPriority w:val="99"/>
    <w:unhideWhenUsed/>
    <w:rsid w:val="003670A8"/>
    <w:rPr>
      <w:color w:val="0000FF"/>
      <w:u w:val="single"/>
    </w:rPr>
  </w:style>
  <w:style w:type="character" w:styleId="zlenenKpr">
    <w:name w:val="FollowedHyperlink"/>
    <w:basedOn w:val="VarsaylanParagrafYazTipi"/>
    <w:uiPriority w:val="99"/>
    <w:semiHidden/>
    <w:unhideWhenUsed/>
    <w:rsid w:val="00F50EF5"/>
    <w:rPr>
      <w:color w:val="954F72" w:themeColor="followedHyperlink"/>
      <w:u w:val="single"/>
    </w:rPr>
  </w:style>
  <w:style w:type="paragraph" w:styleId="T1">
    <w:name w:val="toc 1"/>
    <w:basedOn w:val="Normal"/>
    <w:next w:val="Normal"/>
    <w:autoRedefine/>
    <w:uiPriority w:val="39"/>
    <w:unhideWhenUsed/>
    <w:rsid w:val="00D949C0"/>
    <w:pPr>
      <w:tabs>
        <w:tab w:val="left" w:pos="440"/>
        <w:tab w:val="right" w:leader="dot" w:pos="8396"/>
      </w:tabs>
      <w:spacing w:after="100"/>
    </w:pPr>
    <w:rPr>
      <w:noProof/>
    </w:rPr>
  </w:style>
  <w:style w:type="paragraph" w:styleId="Dzeltme">
    <w:name w:val="Revision"/>
    <w:hidden/>
    <w:uiPriority w:val="99"/>
    <w:semiHidden/>
    <w:rsid w:val="003F148A"/>
    <w:pPr>
      <w:spacing w:after="0" w:line="240" w:lineRule="auto"/>
    </w:pPr>
    <w:rPr>
      <w:rFonts w:ascii="Times New Roman" w:hAnsi="Times New Roman"/>
      <w:sz w:val="24"/>
    </w:rPr>
  </w:style>
  <w:style w:type="paragraph" w:customStyle="1" w:styleId="pf0">
    <w:name w:val="pf0"/>
    <w:basedOn w:val="Normal"/>
    <w:rsid w:val="00D112EC"/>
    <w:pPr>
      <w:spacing w:before="100" w:beforeAutospacing="1" w:after="100" w:afterAutospacing="1" w:line="240" w:lineRule="auto"/>
    </w:pPr>
    <w:rPr>
      <w:rFonts w:eastAsia="Times New Roman" w:cs="Times New Roman"/>
      <w:szCs w:val="24"/>
      <w:lang w:eastAsia="tr-TR"/>
    </w:rPr>
  </w:style>
  <w:style w:type="character" w:customStyle="1" w:styleId="cf01">
    <w:name w:val="cf01"/>
    <w:basedOn w:val="VarsaylanParagrafYazTipi"/>
    <w:rsid w:val="00D112EC"/>
    <w:rPr>
      <w:rFonts w:ascii="Segoe UI" w:hAnsi="Segoe UI" w:cs="Segoe UI" w:hint="default"/>
      <w:sz w:val="18"/>
      <w:szCs w:val="18"/>
    </w:rPr>
  </w:style>
  <w:style w:type="character" w:styleId="HafifVurgulama">
    <w:name w:val="Subtle Emphasis"/>
    <w:basedOn w:val="VarsaylanParagrafYazTipi"/>
    <w:uiPriority w:val="19"/>
    <w:qFormat/>
    <w:rsid w:val="004E4AB8"/>
    <w:rPr>
      <w:i/>
      <w:iCs/>
      <w:color w:val="404040" w:themeColor="text1" w:themeTint="BF"/>
    </w:rPr>
  </w:style>
  <w:style w:type="paragraph" w:styleId="NormalWeb">
    <w:name w:val="Normal (Web)"/>
    <w:basedOn w:val="Normal"/>
    <w:uiPriority w:val="99"/>
    <w:unhideWhenUsed/>
    <w:rsid w:val="008D3309"/>
    <w:pPr>
      <w:spacing w:before="100" w:beforeAutospacing="1" w:after="100" w:afterAutospacing="1" w:line="240" w:lineRule="auto"/>
    </w:pPr>
    <w:rPr>
      <w:rFonts w:eastAsia="Times New Roman" w:cs="Times New Roman"/>
      <w:szCs w:val="24"/>
      <w:lang w:eastAsia="tr-TR"/>
    </w:rPr>
  </w:style>
  <w:style w:type="character" w:styleId="Gl">
    <w:name w:val="Strong"/>
    <w:basedOn w:val="VarsaylanParagrafYazTipi"/>
    <w:uiPriority w:val="22"/>
    <w:qFormat/>
    <w:rsid w:val="005B35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493609">
      <w:bodyDiv w:val="1"/>
      <w:marLeft w:val="0"/>
      <w:marRight w:val="0"/>
      <w:marTop w:val="0"/>
      <w:marBottom w:val="0"/>
      <w:divBdr>
        <w:top w:val="none" w:sz="0" w:space="0" w:color="auto"/>
        <w:left w:val="none" w:sz="0" w:space="0" w:color="auto"/>
        <w:bottom w:val="none" w:sz="0" w:space="0" w:color="auto"/>
        <w:right w:val="none" w:sz="0" w:space="0" w:color="auto"/>
      </w:divBdr>
    </w:div>
    <w:div w:id="422648783">
      <w:bodyDiv w:val="1"/>
      <w:marLeft w:val="0"/>
      <w:marRight w:val="0"/>
      <w:marTop w:val="0"/>
      <w:marBottom w:val="0"/>
      <w:divBdr>
        <w:top w:val="none" w:sz="0" w:space="0" w:color="auto"/>
        <w:left w:val="none" w:sz="0" w:space="0" w:color="auto"/>
        <w:bottom w:val="none" w:sz="0" w:space="0" w:color="auto"/>
        <w:right w:val="none" w:sz="0" w:space="0" w:color="auto"/>
      </w:divBdr>
    </w:div>
    <w:div w:id="470294726">
      <w:bodyDiv w:val="1"/>
      <w:marLeft w:val="0"/>
      <w:marRight w:val="0"/>
      <w:marTop w:val="0"/>
      <w:marBottom w:val="0"/>
      <w:divBdr>
        <w:top w:val="none" w:sz="0" w:space="0" w:color="auto"/>
        <w:left w:val="none" w:sz="0" w:space="0" w:color="auto"/>
        <w:bottom w:val="none" w:sz="0" w:space="0" w:color="auto"/>
        <w:right w:val="none" w:sz="0" w:space="0" w:color="auto"/>
      </w:divBdr>
    </w:div>
    <w:div w:id="1244559673">
      <w:bodyDiv w:val="1"/>
      <w:marLeft w:val="0"/>
      <w:marRight w:val="0"/>
      <w:marTop w:val="0"/>
      <w:marBottom w:val="0"/>
      <w:divBdr>
        <w:top w:val="none" w:sz="0" w:space="0" w:color="auto"/>
        <w:left w:val="none" w:sz="0" w:space="0" w:color="auto"/>
        <w:bottom w:val="none" w:sz="0" w:space="0" w:color="auto"/>
        <w:right w:val="none" w:sz="0" w:space="0" w:color="auto"/>
      </w:divBdr>
    </w:div>
    <w:div w:id="1425149489">
      <w:bodyDiv w:val="1"/>
      <w:marLeft w:val="0"/>
      <w:marRight w:val="0"/>
      <w:marTop w:val="0"/>
      <w:marBottom w:val="0"/>
      <w:divBdr>
        <w:top w:val="none" w:sz="0" w:space="0" w:color="auto"/>
        <w:left w:val="none" w:sz="0" w:space="0" w:color="auto"/>
        <w:bottom w:val="none" w:sz="0" w:space="0" w:color="auto"/>
        <w:right w:val="none" w:sz="0" w:space="0" w:color="auto"/>
      </w:divBdr>
    </w:div>
    <w:div w:id="1439063863">
      <w:bodyDiv w:val="1"/>
      <w:marLeft w:val="0"/>
      <w:marRight w:val="0"/>
      <w:marTop w:val="0"/>
      <w:marBottom w:val="0"/>
      <w:divBdr>
        <w:top w:val="none" w:sz="0" w:space="0" w:color="auto"/>
        <w:left w:val="none" w:sz="0" w:space="0" w:color="auto"/>
        <w:bottom w:val="none" w:sz="0" w:space="0" w:color="auto"/>
        <w:right w:val="none" w:sz="0" w:space="0" w:color="auto"/>
      </w:divBdr>
    </w:div>
    <w:div w:id="177525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A2772-2429-44BD-AFA1-84D63A67D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16</Pages>
  <Words>5454</Words>
  <Characters>31091</Characters>
  <Application>Microsoft Office Word</Application>
  <DocSecurity>0</DocSecurity>
  <Lines>259</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Cengiz</dc:creator>
  <cp:keywords/>
  <dc:description/>
  <cp:lastModifiedBy>Danışma Kurulu</cp:lastModifiedBy>
  <cp:revision>20</cp:revision>
  <cp:lastPrinted>2019-09-27T06:47:00Z</cp:lastPrinted>
  <dcterms:created xsi:type="dcterms:W3CDTF">2025-01-30T09:55:00Z</dcterms:created>
  <dcterms:modified xsi:type="dcterms:W3CDTF">2025-03-13T15:24:00Z</dcterms:modified>
</cp:coreProperties>
</file>